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E484B" w:rsidRPr="002120AE" w:rsidRDefault="000E484B" w:rsidP="000E484B">
      <w:pPr>
        <w:spacing w:after="0"/>
        <w:rPr>
          <w:rFonts w:ascii="Times New Roman" w:hAnsi="Times New Roman" w:cs="Times New Roman"/>
          <w:b/>
        </w:rPr>
      </w:pPr>
      <w:r w:rsidRPr="002120AE">
        <w:rPr>
          <w:rFonts w:ascii="Times New Roman" w:hAnsi="Times New Roman" w:cs="Times New Roman"/>
          <w:b/>
        </w:rPr>
        <w:t>ELŐTERJESZTÉS</w:t>
      </w:r>
    </w:p>
    <w:p w:rsidR="000E484B" w:rsidRPr="002120AE" w:rsidRDefault="000E484B" w:rsidP="000E484B">
      <w:pPr>
        <w:spacing w:after="0"/>
        <w:rPr>
          <w:rFonts w:ascii="Times New Roman" w:hAnsi="Times New Roman" w:cs="Times New Roman"/>
          <w:b/>
        </w:rPr>
      </w:pPr>
      <w:r w:rsidRPr="002120AE">
        <w:rPr>
          <w:rFonts w:ascii="Times New Roman" w:hAnsi="Times New Roman" w:cs="Times New Roman"/>
          <w:b/>
        </w:rPr>
        <w:t>A KÉPVISELŐ-TESTÜLET</w:t>
      </w:r>
    </w:p>
    <w:p w:rsidR="000E484B" w:rsidRPr="002120AE" w:rsidRDefault="000E484B" w:rsidP="000E484B">
      <w:pPr>
        <w:spacing w:after="0"/>
        <w:rPr>
          <w:rFonts w:ascii="Times New Roman" w:hAnsi="Times New Roman" w:cs="Times New Roman"/>
          <w:b/>
        </w:rPr>
      </w:pPr>
      <w:r w:rsidRPr="002120AE">
        <w:rPr>
          <w:rFonts w:ascii="Times New Roman" w:hAnsi="Times New Roman" w:cs="Times New Roman"/>
          <w:b/>
        </w:rPr>
        <w:t>20</w:t>
      </w:r>
      <w:r w:rsidR="00341589">
        <w:rPr>
          <w:rFonts w:ascii="Times New Roman" w:hAnsi="Times New Roman" w:cs="Times New Roman"/>
          <w:b/>
        </w:rPr>
        <w:t>20. július</w:t>
      </w:r>
      <w:r w:rsidR="00FB4DB4">
        <w:rPr>
          <w:rFonts w:ascii="Times New Roman" w:hAnsi="Times New Roman" w:cs="Times New Roman"/>
          <w:b/>
        </w:rPr>
        <w:t xml:space="preserve"> 14-</w:t>
      </w:r>
      <w:r>
        <w:rPr>
          <w:rFonts w:ascii="Times New Roman" w:hAnsi="Times New Roman" w:cs="Times New Roman"/>
          <w:b/>
        </w:rPr>
        <w:t>i rendkivüli</w:t>
      </w:r>
      <w:r w:rsidRPr="002120AE">
        <w:rPr>
          <w:rFonts w:ascii="Times New Roman" w:hAnsi="Times New Roman" w:cs="Times New Roman"/>
          <w:b/>
        </w:rPr>
        <w:t xml:space="preserve"> ülésére</w:t>
      </w:r>
    </w:p>
    <w:p w:rsidR="000E484B" w:rsidRDefault="000E484B" w:rsidP="000E484B">
      <w:pPr>
        <w:spacing w:after="0"/>
        <w:rPr>
          <w:rFonts w:ascii="Times New Roman" w:hAnsi="Times New Roman" w:cs="Times New Roman"/>
          <w:b/>
          <w:sz w:val="24"/>
          <w:szCs w:val="24"/>
        </w:rPr>
      </w:pPr>
    </w:p>
    <w:p w:rsidR="00341589" w:rsidRDefault="00341589" w:rsidP="00341589">
      <w:pPr>
        <w:spacing w:after="0"/>
        <w:jc w:val="center"/>
        <w:rPr>
          <w:rFonts w:ascii="Times New Roman" w:hAnsi="Times New Roman" w:cs="Times New Roman"/>
          <w:b/>
          <w:sz w:val="24"/>
          <w:szCs w:val="24"/>
        </w:rPr>
      </w:pPr>
      <w:r>
        <w:rPr>
          <w:rFonts w:ascii="Times New Roman" w:hAnsi="Times New Roman" w:cs="Times New Roman"/>
          <w:b/>
          <w:sz w:val="24"/>
          <w:szCs w:val="24"/>
        </w:rPr>
        <w:t>Előterjesztés</w:t>
      </w:r>
    </w:p>
    <w:p w:rsidR="00341589" w:rsidRDefault="00341589" w:rsidP="00341589">
      <w:pPr>
        <w:spacing w:after="0"/>
        <w:jc w:val="center"/>
        <w:rPr>
          <w:rFonts w:ascii="Times New Roman" w:hAnsi="Times New Roman" w:cs="Times New Roman"/>
          <w:b/>
          <w:sz w:val="24"/>
          <w:szCs w:val="24"/>
        </w:rPr>
      </w:pPr>
      <w:r>
        <w:rPr>
          <w:rFonts w:ascii="Times New Roman" w:hAnsi="Times New Roman" w:cs="Times New Roman"/>
          <w:b/>
          <w:sz w:val="24"/>
          <w:szCs w:val="24"/>
        </w:rPr>
        <w:t>Helyi Építési Szabályzat módosítása</w:t>
      </w:r>
    </w:p>
    <w:p w:rsidR="00341589" w:rsidRPr="002120AE" w:rsidRDefault="00341589" w:rsidP="000E484B">
      <w:pPr>
        <w:spacing w:after="0"/>
        <w:rPr>
          <w:rFonts w:ascii="Times New Roman" w:hAnsi="Times New Roman" w:cs="Times New Roman"/>
          <w:b/>
          <w:sz w:val="24"/>
          <w:szCs w:val="24"/>
        </w:rPr>
      </w:pPr>
    </w:p>
    <w:p w:rsidR="000E484B" w:rsidRPr="002120AE" w:rsidRDefault="000E484B" w:rsidP="000E484B">
      <w:pPr>
        <w:spacing w:after="0"/>
        <w:rPr>
          <w:rFonts w:ascii="Times New Roman" w:hAnsi="Times New Roman" w:cs="Times New Roman"/>
          <w:sz w:val="24"/>
          <w:szCs w:val="24"/>
        </w:rPr>
      </w:pPr>
      <w:r w:rsidRPr="002120AE">
        <w:rPr>
          <w:rFonts w:ascii="Times New Roman" w:hAnsi="Times New Roman" w:cs="Times New Roman"/>
          <w:sz w:val="24"/>
          <w:szCs w:val="24"/>
        </w:rPr>
        <w:t xml:space="preserve">A napirendet tárgyaló ülés dátuma: </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t>20</w:t>
      </w:r>
      <w:r w:rsidR="00341589">
        <w:rPr>
          <w:rFonts w:ascii="Times New Roman" w:hAnsi="Times New Roman" w:cs="Times New Roman"/>
          <w:sz w:val="24"/>
          <w:szCs w:val="24"/>
        </w:rPr>
        <w:t>20.07</w:t>
      </w:r>
      <w:r>
        <w:rPr>
          <w:rFonts w:ascii="Times New Roman" w:hAnsi="Times New Roman" w:cs="Times New Roman"/>
          <w:sz w:val="24"/>
          <w:szCs w:val="24"/>
        </w:rPr>
        <w:t>.1</w:t>
      </w:r>
      <w:r w:rsidR="005046ED">
        <w:rPr>
          <w:rFonts w:ascii="Times New Roman" w:hAnsi="Times New Roman" w:cs="Times New Roman"/>
          <w:sz w:val="24"/>
          <w:szCs w:val="24"/>
        </w:rPr>
        <w:t>4</w:t>
      </w:r>
      <w:r>
        <w:rPr>
          <w:rFonts w:ascii="Times New Roman" w:hAnsi="Times New Roman" w:cs="Times New Roman"/>
          <w:sz w:val="24"/>
          <w:szCs w:val="24"/>
        </w:rPr>
        <w:t>.</w:t>
      </w:r>
      <w:r w:rsidRPr="002120AE">
        <w:rPr>
          <w:rFonts w:ascii="Times New Roman" w:hAnsi="Times New Roman" w:cs="Times New Roman"/>
          <w:sz w:val="24"/>
          <w:szCs w:val="24"/>
        </w:rPr>
        <w:t xml:space="preserve"> </w:t>
      </w:r>
    </w:p>
    <w:p w:rsidR="000E484B" w:rsidRPr="002120AE" w:rsidRDefault="000E484B" w:rsidP="000E484B">
      <w:pPr>
        <w:spacing w:after="0"/>
        <w:rPr>
          <w:rFonts w:ascii="Times New Roman" w:hAnsi="Times New Roman" w:cs="Times New Roman"/>
          <w:sz w:val="24"/>
          <w:szCs w:val="24"/>
        </w:rPr>
      </w:pPr>
      <w:r w:rsidRPr="002120AE">
        <w:rPr>
          <w:rFonts w:ascii="Times New Roman" w:hAnsi="Times New Roman" w:cs="Times New Roman"/>
          <w:sz w:val="24"/>
          <w:szCs w:val="24"/>
        </w:rPr>
        <w:t xml:space="preserve">A napirendet tárgyaló ülés: </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t xml:space="preserve">Képviselő-testület </w:t>
      </w:r>
    </w:p>
    <w:p w:rsidR="000E484B" w:rsidRPr="002120AE" w:rsidRDefault="000E484B" w:rsidP="000E484B">
      <w:pPr>
        <w:spacing w:after="0"/>
        <w:rPr>
          <w:rFonts w:ascii="Times New Roman" w:hAnsi="Times New Roman" w:cs="Times New Roman"/>
          <w:sz w:val="24"/>
          <w:szCs w:val="24"/>
        </w:rPr>
      </w:pPr>
      <w:r w:rsidRPr="002120AE">
        <w:rPr>
          <w:rFonts w:ascii="Times New Roman" w:hAnsi="Times New Roman" w:cs="Times New Roman"/>
          <w:sz w:val="24"/>
          <w:szCs w:val="24"/>
        </w:rPr>
        <w:t xml:space="preserve">Az előterjesztést készítette: </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Pr>
          <w:rFonts w:ascii="Times New Roman" w:hAnsi="Times New Roman" w:cs="Times New Roman"/>
          <w:sz w:val="24"/>
          <w:szCs w:val="24"/>
        </w:rPr>
        <w:t>jegyző</w:t>
      </w:r>
    </w:p>
    <w:p w:rsidR="000E484B" w:rsidRPr="002120AE" w:rsidRDefault="000E484B" w:rsidP="000E484B">
      <w:pPr>
        <w:spacing w:after="0"/>
        <w:rPr>
          <w:rFonts w:ascii="Times New Roman" w:hAnsi="Times New Roman" w:cs="Times New Roman"/>
          <w:sz w:val="24"/>
          <w:szCs w:val="24"/>
        </w:rPr>
      </w:pPr>
      <w:r w:rsidRPr="002120AE">
        <w:rPr>
          <w:rFonts w:ascii="Times New Roman" w:hAnsi="Times New Roman" w:cs="Times New Roman"/>
          <w:sz w:val="24"/>
          <w:szCs w:val="24"/>
        </w:rPr>
        <w:t>Előterjesztő:</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Pr>
          <w:rFonts w:ascii="Times New Roman" w:hAnsi="Times New Roman" w:cs="Times New Roman"/>
          <w:sz w:val="24"/>
          <w:szCs w:val="24"/>
        </w:rPr>
        <w:t>Polgármester</w:t>
      </w:r>
      <w:r w:rsidRPr="002120AE">
        <w:rPr>
          <w:rFonts w:ascii="Times New Roman" w:hAnsi="Times New Roman" w:cs="Times New Roman"/>
          <w:sz w:val="24"/>
          <w:szCs w:val="24"/>
        </w:rPr>
        <w:t xml:space="preserve"> </w:t>
      </w:r>
    </w:p>
    <w:p w:rsidR="000E484B" w:rsidRPr="002120AE" w:rsidRDefault="000E484B" w:rsidP="000E484B">
      <w:pPr>
        <w:spacing w:after="0"/>
        <w:rPr>
          <w:rFonts w:ascii="Times New Roman" w:hAnsi="Times New Roman" w:cs="Times New Roman"/>
          <w:sz w:val="24"/>
          <w:szCs w:val="24"/>
        </w:rPr>
      </w:pPr>
      <w:r w:rsidRPr="002120AE">
        <w:rPr>
          <w:rFonts w:ascii="Times New Roman" w:hAnsi="Times New Roman" w:cs="Times New Roman"/>
          <w:sz w:val="24"/>
          <w:szCs w:val="24"/>
        </w:rPr>
        <w:t xml:space="preserve">A napirendet tárgyaló ülés típusa: </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u w:val="single"/>
        </w:rPr>
        <w:t xml:space="preserve">nyílt </w:t>
      </w:r>
      <w:r w:rsidRPr="002120AE">
        <w:rPr>
          <w:rFonts w:ascii="Times New Roman" w:hAnsi="Times New Roman" w:cs="Times New Roman"/>
          <w:sz w:val="24"/>
          <w:szCs w:val="24"/>
        </w:rPr>
        <w:t xml:space="preserve">/ zárt </w:t>
      </w:r>
    </w:p>
    <w:p w:rsidR="000E484B" w:rsidRPr="002120AE" w:rsidRDefault="000E484B" w:rsidP="000E484B">
      <w:pPr>
        <w:spacing w:after="0"/>
        <w:rPr>
          <w:rFonts w:ascii="Times New Roman" w:hAnsi="Times New Roman" w:cs="Times New Roman"/>
          <w:sz w:val="24"/>
          <w:szCs w:val="24"/>
        </w:rPr>
      </w:pPr>
      <w:r w:rsidRPr="002120AE">
        <w:rPr>
          <w:rFonts w:ascii="Times New Roman" w:hAnsi="Times New Roman" w:cs="Times New Roman"/>
          <w:sz w:val="24"/>
          <w:szCs w:val="24"/>
        </w:rPr>
        <w:t xml:space="preserve">A napirendet tárgyaló ülés típusa: </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341589">
        <w:rPr>
          <w:rFonts w:ascii="Times New Roman" w:hAnsi="Times New Roman" w:cs="Times New Roman"/>
          <w:sz w:val="24"/>
          <w:szCs w:val="24"/>
        </w:rPr>
        <w:t>rendes</w:t>
      </w:r>
      <w:r w:rsidRPr="002120AE">
        <w:rPr>
          <w:rFonts w:ascii="Times New Roman" w:hAnsi="Times New Roman" w:cs="Times New Roman"/>
          <w:sz w:val="24"/>
          <w:szCs w:val="24"/>
        </w:rPr>
        <w:t xml:space="preserve"> / </w:t>
      </w:r>
      <w:r w:rsidRPr="00FB4DB4">
        <w:rPr>
          <w:rFonts w:ascii="Times New Roman" w:hAnsi="Times New Roman" w:cs="Times New Roman"/>
          <w:sz w:val="24"/>
          <w:szCs w:val="24"/>
          <w:u w:val="single"/>
        </w:rPr>
        <w:t xml:space="preserve">rendkívüli </w:t>
      </w:r>
    </w:p>
    <w:p w:rsidR="000E484B" w:rsidRPr="002120AE" w:rsidRDefault="000E484B" w:rsidP="000E484B">
      <w:pPr>
        <w:spacing w:after="0"/>
        <w:rPr>
          <w:rFonts w:ascii="Times New Roman" w:hAnsi="Times New Roman" w:cs="Times New Roman"/>
          <w:sz w:val="24"/>
          <w:szCs w:val="24"/>
        </w:rPr>
      </w:pPr>
      <w:r w:rsidRPr="002120AE">
        <w:rPr>
          <w:rFonts w:ascii="Times New Roman" w:hAnsi="Times New Roman" w:cs="Times New Roman"/>
          <w:sz w:val="24"/>
          <w:szCs w:val="24"/>
        </w:rPr>
        <w:t xml:space="preserve">A határozat elfogadásához szükséges többség típusát: </w:t>
      </w:r>
      <w:r w:rsidRPr="000E484B">
        <w:rPr>
          <w:rFonts w:ascii="Times New Roman" w:hAnsi="Times New Roman" w:cs="Times New Roman"/>
          <w:sz w:val="24"/>
          <w:szCs w:val="24"/>
        </w:rPr>
        <w:t>egyszerű</w:t>
      </w:r>
      <w:r w:rsidRPr="002120AE">
        <w:rPr>
          <w:rFonts w:ascii="Times New Roman" w:hAnsi="Times New Roman" w:cs="Times New Roman"/>
          <w:sz w:val="24"/>
          <w:szCs w:val="24"/>
        </w:rPr>
        <w:t xml:space="preserve"> / </w:t>
      </w:r>
      <w:r w:rsidRPr="005046ED">
        <w:rPr>
          <w:rFonts w:ascii="Times New Roman" w:hAnsi="Times New Roman" w:cs="Times New Roman"/>
          <w:sz w:val="24"/>
          <w:szCs w:val="24"/>
          <w:u w:val="single"/>
        </w:rPr>
        <w:t xml:space="preserve">minősített </w:t>
      </w:r>
    </w:p>
    <w:p w:rsidR="000E484B" w:rsidRPr="002120AE" w:rsidRDefault="000E484B" w:rsidP="000E484B">
      <w:pPr>
        <w:spacing w:after="0"/>
        <w:rPr>
          <w:rFonts w:ascii="Times New Roman" w:hAnsi="Times New Roman" w:cs="Times New Roman"/>
          <w:sz w:val="24"/>
          <w:szCs w:val="24"/>
        </w:rPr>
      </w:pPr>
      <w:r w:rsidRPr="002120AE">
        <w:rPr>
          <w:rFonts w:ascii="Times New Roman" w:hAnsi="Times New Roman" w:cs="Times New Roman"/>
          <w:sz w:val="24"/>
          <w:szCs w:val="24"/>
        </w:rPr>
        <w:t xml:space="preserve">A szavazás módja: </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u w:val="single"/>
        </w:rPr>
        <w:t>nyílt</w:t>
      </w:r>
      <w:r w:rsidRPr="002120AE">
        <w:rPr>
          <w:rFonts w:ascii="Times New Roman" w:hAnsi="Times New Roman" w:cs="Times New Roman"/>
          <w:sz w:val="24"/>
          <w:szCs w:val="24"/>
        </w:rPr>
        <w:t xml:space="preserve"> / titkos</w:t>
      </w:r>
    </w:p>
    <w:p w:rsidR="000E484B" w:rsidRPr="002120AE" w:rsidRDefault="000E484B" w:rsidP="000E484B">
      <w:pPr>
        <w:spacing w:after="0"/>
        <w:rPr>
          <w:rFonts w:ascii="Times New Roman" w:hAnsi="Times New Roman" w:cs="Times New Roman"/>
          <w:sz w:val="24"/>
          <w:szCs w:val="24"/>
        </w:rPr>
      </w:pPr>
    </w:p>
    <w:p w:rsidR="000E484B" w:rsidRDefault="000E484B" w:rsidP="000E484B">
      <w:pPr>
        <w:spacing w:after="0"/>
        <w:rPr>
          <w:rFonts w:ascii="Times New Roman" w:hAnsi="Times New Roman" w:cs="Times New Roman"/>
          <w:sz w:val="24"/>
          <w:szCs w:val="24"/>
        </w:rPr>
      </w:pPr>
    </w:p>
    <w:p w:rsidR="000E484B" w:rsidRPr="00FB4DB4" w:rsidRDefault="000E484B" w:rsidP="000E484B">
      <w:pPr>
        <w:jc w:val="both"/>
        <w:rPr>
          <w:rFonts w:ascii="Times New Roman" w:hAnsi="Times New Roman" w:cs="Times New Roman"/>
          <w:b/>
          <w:sz w:val="24"/>
          <w:szCs w:val="24"/>
        </w:rPr>
      </w:pPr>
      <w:r w:rsidRPr="00FB4DB4">
        <w:rPr>
          <w:rFonts w:ascii="Times New Roman" w:hAnsi="Times New Roman" w:cs="Times New Roman"/>
          <w:b/>
          <w:sz w:val="24"/>
          <w:szCs w:val="24"/>
        </w:rPr>
        <w:t>1.Előzmények, különösen az adott tárgykörben hozott korábbi testületi döntések és azok végrehajtásának állása: ---</w:t>
      </w:r>
    </w:p>
    <w:p w:rsidR="000E484B" w:rsidRPr="000E484B" w:rsidRDefault="000E484B" w:rsidP="000E484B">
      <w:pPr>
        <w:jc w:val="both"/>
        <w:rPr>
          <w:rFonts w:ascii="Times New Roman" w:hAnsi="Times New Roman" w:cs="Times New Roman"/>
          <w:sz w:val="24"/>
          <w:szCs w:val="24"/>
        </w:rPr>
      </w:pPr>
      <w:r w:rsidRPr="000E484B">
        <w:rPr>
          <w:rFonts w:ascii="Times New Roman" w:hAnsi="Times New Roman" w:cs="Times New Roman"/>
          <w:b/>
          <w:sz w:val="24"/>
          <w:szCs w:val="24"/>
        </w:rPr>
        <w:t>2. Jogszabályi hivatkozások</w:t>
      </w:r>
      <w:r w:rsidRPr="000E484B">
        <w:rPr>
          <w:rFonts w:ascii="Times New Roman" w:hAnsi="Times New Roman" w:cs="Times New Roman"/>
          <w:sz w:val="24"/>
          <w:szCs w:val="24"/>
        </w:rPr>
        <w:t xml:space="preserve">: </w:t>
      </w:r>
    </w:p>
    <w:p w:rsidR="000E484B" w:rsidRPr="00FB4DB4" w:rsidRDefault="000E484B" w:rsidP="000E484B">
      <w:pPr>
        <w:spacing w:after="0"/>
        <w:jc w:val="both"/>
        <w:rPr>
          <w:rFonts w:ascii="Times New Roman" w:hAnsi="Times New Roman" w:cs="Times New Roman"/>
          <w:bCs/>
          <w:sz w:val="24"/>
          <w:szCs w:val="24"/>
        </w:rPr>
      </w:pPr>
      <w:r w:rsidRPr="00FB4DB4">
        <w:rPr>
          <w:rFonts w:ascii="Times New Roman" w:hAnsi="Times New Roman" w:cs="Times New Roman"/>
          <w:bCs/>
          <w:sz w:val="24"/>
          <w:szCs w:val="24"/>
        </w:rPr>
        <w:t>3.Költségkihatások és egyéb szükséges feltételeket, illetve megteremtésük javasolt forrásai:</w:t>
      </w:r>
    </w:p>
    <w:p w:rsidR="000E484B" w:rsidRDefault="005046ED" w:rsidP="000E484B">
      <w:pPr>
        <w:spacing w:after="0"/>
        <w:jc w:val="both"/>
        <w:rPr>
          <w:rFonts w:ascii="Times New Roman" w:hAnsi="Times New Roman" w:cs="Times New Roman"/>
          <w:i/>
          <w:sz w:val="24"/>
          <w:szCs w:val="24"/>
        </w:rPr>
      </w:pPr>
      <w:r>
        <w:rPr>
          <w:rFonts w:ascii="Times New Roman" w:hAnsi="Times New Roman" w:cs="Times New Roman"/>
          <w:i/>
          <w:sz w:val="24"/>
          <w:szCs w:val="24"/>
        </w:rPr>
        <w:t>Nincs</w:t>
      </w:r>
    </w:p>
    <w:p w:rsidR="005046ED" w:rsidRPr="000E484B" w:rsidRDefault="005046ED" w:rsidP="000E484B">
      <w:pPr>
        <w:spacing w:after="0"/>
        <w:jc w:val="both"/>
        <w:rPr>
          <w:rFonts w:ascii="Times New Roman" w:hAnsi="Times New Roman" w:cs="Times New Roman"/>
          <w:i/>
          <w:sz w:val="24"/>
          <w:szCs w:val="24"/>
        </w:rPr>
      </w:pPr>
    </w:p>
    <w:p w:rsidR="000E484B" w:rsidRPr="000E484B" w:rsidRDefault="000E484B" w:rsidP="000E484B">
      <w:pPr>
        <w:spacing w:after="0"/>
        <w:jc w:val="both"/>
        <w:rPr>
          <w:rFonts w:ascii="Times New Roman" w:hAnsi="Times New Roman" w:cs="Times New Roman"/>
          <w:b/>
          <w:sz w:val="24"/>
          <w:szCs w:val="24"/>
        </w:rPr>
      </w:pPr>
      <w:r w:rsidRPr="000E484B">
        <w:rPr>
          <w:rFonts w:ascii="Times New Roman" w:hAnsi="Times New Roman" w:cs="Times New Roman"/>
          <w:b/>
          <w:sz w:val="24"/>
          <w:szCs w:val="24"/>
        </w:rPr>
        <w:t xml:space="preserve">4. Tényállás bemutatása: </w:t>
      </w:r>
    </w:p>
    <w:p w:rsidR="000E484B" w:rsidRPr="000E484B" w:rsidRDefault="000E484B" w:rsidP="000E484B">
      <w:pPr>
        <w:spacing w:after="0"/>
        <w:jc w:val="center"/>
        <w:rPr>
          <w:rFonts w:ascii="Times New Roman" w:hAnsi="Times New Roman" w:cs="Times New Roman"/>
          <w:b/>
          <w:sz w:val="24"/>
          <w:szCs w:val="24"/>
        </w:rPr>
      </w:pPr>
    </w:p>
    <w:p w:rsidR="00602838" w:rsidRPr="005E740F" w:rsidRDefault="00602838" w:rsidP="00602838">
      <w:pPr>
        <w:spacing w:after="0"/>
        <w:jc w:val="both"/>
        <w:rPr>
          <w:rFonts w:ascii="Times New Roman" w:hAnsi="Times New Roman" w:cs="Times New Roman"/>
          <w:sz w:val="24"/>
          <w:szCs w:val="24"/>
        </w:rPr>
      </w:pPr>
      <w:r w:rsidRPr="005E740F">
        <w:rPr>
          <w:rFonts w:ascii="Times New Roman" w:hAnsi="Times New Roman" w:cs="Times New Roman"/>
          <w:sz w:val="24"/>
          <w:szCs w:val="24"/>
        </w:rPr>
        <w:t>Telki község hatályos Helyi Építési Szabályzata (HÉSZ) 20</w:t>
      </w:r>
      <w:r>
        <w:rPr>
          <w:rFonts w:ascii="Times New Roman" w:hAnsi="Times New Roman" w:cs="Times New Roman"/>
          <w:sz w:val="24"/>
          <w:szCs w:val="24"/>
        </w:rPr>
        <w:t xml:space="preserve">16.évben 15/2016.(XII.13.) Ör. rendeletével </w:t>
      </w:r>
      <w:r w:rsidRPr="005E740F">
        <w:rPr>
          <w:rFonts w:ascii="Times New Roman" w:hAnsi="Times New Roman" w:cs="Times New Roman"/>
          <w:sz w:val="24"/>
          <w:szCs w:val="24"/>
        </w:rPr>
        <w:t>került jóváhagyásra. A HÉSZ legutóbbi felülvizsgálatát követően több módosító indítvány, több beadvány, kérelem fogalmazódott meg a hatályos rendelkezésekkel összefüggésben.</w:t>
      </w:r>
    </w:p>
    <w:p w:rsidR="00602838" w:rsidRDefault="00602838" w:rsidP="00602838">
      <w:pPr>
        <w:spacing w:after="0"/>
        <w:jc w:val="both"/>
        <w:rPr>
          <w:rFonts w:ascii="Times New Roman" w:hAnsi="Times New Roman" w:cs="Times New Roman"/>
          <w:sz w:val="24"/>
          <w:szCs w:val="24"/>
        </w:rPr>
      </w:pPr>
    </w:p>
    <w:p w:rsidR="00602838" w:rsidRPr="00FB4DB4" w:rsidRDefault="00602838" w:rsidP="00602838">
      <w:pPr>
        <w:spacing w:after="0"/>
        <w:jc w:val="both"/>
        <w:rPr>
          <w:rFonts w:ascii="Times New Roman" w:hAnsi="Times New Roman" w:cs="Times New Roman"/>
          <w:sz w:val="24"/>
          <w:szCs w:val="24"/>
        </w:rPr>
      </w:pPr>
      <w:r w:rsidRPr="00FB4DB4">
        <w:rPr>
          <w:rFonts w:ascii="Times New Roman" w:hAnsi="Times New Roman" w:cs="Times New Roman"/>
          <w:sz w:val="24"/>
          <w:szCs w:val="24"/>
        </w:rPr>
        <w:t>A beérkezett módosítási igények támogatásáról a képviselő-testület 7-19/2019.(I.28.) Öh. számú határozataival döntött. A k</w:t>
      </w:r>
      <w:r w:rsidRPr="00FB4DB4">
        <w:rPr>
          <w:rFonts w:ascii="Times New Roman" w:hAnsi="Times New Roman" w:cs="Times New Roman"/>
          <w:color w:val="000000" w:themeColor="text1"/>
          <w:sz w:val="24"/>
          <w:szCs w:val="24"/>
        </w:rPr>
        <w:t>épviselő-testülete 100/2019. (VI.25.) számú önkormányzati határozatában döntött a hatályos Helyi Építési Szabályzat (HÉSZ)</w:t>
      </w:r>
      <w:r w:rsidRPr="00FB4DB4">
        <w:rPr>
          <w:rFonts w:ascii="Times New Roman" w:hAnsi="Times New Roman" w:cs="Times New Roman"/>
          <w:color w:val="000000" w:themeColor="text1"/>
          <w:sz w:val="24"/>
          <w:szCs w:val="24"/>
        </w:rPr>
        <w:br/>
        <w:t>módosításának szükségességéről.</w:t>
      </w:r>
      <w:r w:rsidRPr="00FB4DB4">
        <w:rPr>
          <w:rFonts w:ascii="Times New Roman" w:hAnsi="Times New Roman" w:cs="Times New Roman"/>
          <w:color w:val="000000" w:themeColor="text1"/>
          <w:sz w:val="24"/>
          <w:szCs w:val="24"/>
        </w:rPr>
        <w:br/>
      </w:r>
    </w:p>
    <w:p w:rsidR="00602838" w:rsidRPr="00602838" w:rsidRDefault="00602838" w:rsidP="00602838">
      <w:pPr>
        <w:pStyle w:val="NormlWeb"/>
        <w:spacing w:before="0" w:beforeAutospacing="0" w:after="0" w:afterAutospacing="0"/>
        <w:jc w:val="both"/>
        <w:rPr>
          <w:color w:val="000000" w:themeColor="text1"/>
        </w:rPr>
      </w:pPr>
      <w:r w:rsidRPr="00602838">
        <w:rPr>
          <w:color w:val="000000" w:themeColor="text1"/>
        </w:rPr>
        <w:t>A módosítás a hatályos településrendezési eszközt több kisebb részterületen érinti, melyek részben az önkormányzat elhatározásai, részben lakossági kérelmek alapján váltak szükségessé.</w:t>
      </w:r>
    </w:p>
    <w:p w:rsidR="005046ED" w:rsidRDefault="000E484B" w:rsidP="000E484B">
      <w:pPr>
        <w:spacing w:before="100" w:beforeAutospacing="1" w:after="0" w:line="240" w:lineRule="auto"/>
        <w:jc w:val="both"/>
        <w:rPr>
          <w:rFonts w:ascii="Times New Roman" w:hAnsi="Times New Roman" w:cs="Times New Roman"/>
          <w:sz w:val="24"/>
          <w:szCs w:val="24"/>
        </w:rPr>
      </w:pPr>
      <w:r w:rsidRPr="000E484B">
        <w:rPr>
          <w:rFonts w:ascii="Times New Roman" w:hAnsi="Times New Roman" w:cs="Times New Roman"/>
          <w:sz w:val="24"/>
          <w:szCs w:val="24"/>
        </w:rPr>
        <w:t xml:space="preserve">A Kasib Mérnöki Iroda elkészítette a HÉSZ módosítás tervanyagát, amit partnerségi egyeztetésre bocsátott a képviselő-testület és az érintettek részére. A HÉSZ módosítás véleményezése és elfogadása a településfejlesztési koncepcióról, az integrált településfejlesztési stratégiáról és a településrendezési eszközökről, valamint egyes településrendezési sajátos jogintézményekről szóló 314/2012.(XI.8.) Korm. rendelet (továbbiakban: Korm. r.) </w:t>
      </w:r>
      <w:r w:rsidRPr="00602838">
        <w:rPr>
          <w:rFonts w:ascii="Times New Roman" w:hAnsi="Times New Roman" w:cs="Times New Roman"/>
          <w:color w:val="000000" w:themeColor="text1"/>
          <w:sz w:val="24"/>
          <w:szCs w:val="24"/>
        </w:rPr>
        <w:t>32. § (</w:t>
      </w:r>
      <w:r w:rsidR="00602838" w:rsidRPr="00602838">
        <w:rPr>
          <w:rFonts w:ascii="Times New Roman" w:hAnsi="Times New Roman" w:cs="Times New Roman"/>
          <w:color w:val="000000" w:themeColor="text1"/>
          <w:sz w:val="24"/>
          <w:szCs w:val="24"/>
        </w:rPr>
        <w:t>1</w:t>
      </w:r>
      <w:r w:rsidRPr="00602838">
        <w:rPr>
          <w:rFonts w:ascii="Times New Roman" w:hAnsi="Times New Roman" w:cs="Times New Roman"/>
          <w:color w:val="000000" w:themeColor="text1"/>
          <w:sz w:val="24"/>
          <w:szCs w:val="24"/>
        </w:rPr>
        <w:t xml:space="preserve">) bekezdés </w:t>
      </w:r>
      <w:r w:rsidR="00602838" w:rsidRPr="00602838">
        <w:rPr>
          <w:rFonts w:ascii="Times New Roman" w:hAnsi="Times New Roman" w:cs="Times New Roman"/>
          <w:color w:val="000000" w:themeColor="text1"/>
          <w:sz w:val="24"/>
          <w:szCs w:val="24"/>
        </w:rPr>
        <w:t>b</w:t>
      </w:r>
      <w:r w:rsidRPr="00602838">
        <w:rPr>
          <w:rFonts w:ascii="Times New Roman" w:hAnsi="Times New Roman" w:cs="Times New Roman"/>
          <w:color w:val="000000" w:themeColor="text1"/>
          <w:sz w:val="24"/>
          <w:szCs w:val="24"/>
        </w:rPr>
        <w:t xml:space="preserve">.) pontja </w:t>
      </w:r>
      <w:r w:rsidRPr="000E484B">
        <w:rPr>
          <w:rFonts w:ascii="Times New Roman" w:hAnsi="Times New Roman" w:cs="Times New Roman"/>
          <w:sz w:val="24"/>
          <w:szCs w:val="24"/>
        </w:rPr>
        <w:t xml:space="preserve">alapján </w:t>
      </w:r>
      <w:r w:rsidR="005046ED">
        <w:rPr>
          <w:rFonts w:ascii="Times New Roman" w:hAnsi="Times New Roman" w:cs="Times New Roman"/>
          <w:sz w:val="24"/>
          <w:szCs w:val="24"/>
        </w:rPr>
        <w:t>egyszerűsített eljárásba</w:t>
      </w:r>
      <w:r w:rsidRPr="000E484B">
        <w:rPr>
          <w:rFonts w:ascii="Times New Roman" w:hAnsi="Times New Roman" w:cs="Times New Roman"/>
          <w:sz w:val="24"/>
          <w:szCs w:val="24"/>
        </w:rPr>
        <w:t>n történik</w:t>
      </w:r>
      <w:r w:rsidR="005046ED">
        <w:rPr>
          <w:rFonts w:ascii="Times New Roman" w:hAnsi="Times New Roman" w:cs="Times New Roman"/>
          <w:sz w:val="24"/>
          <w:szCs w:val="24"/>
        </w:rPr>
        <w:t>.</w:t>
      </w:r>
    </w:p>
    <w:p w:rsidR="00602838" w:rsidRPr="00602838" w:rsidRDefault="005046ED" w:rsidP="00602838">
      <w:pPr>
        <w:spacing w:before="100" w:beforeAutospacing="1" w:after="0" w:line="240" w:lineRule="auto"/>
        <w:jc w:val="both"/>
        <w:rPr>
          <w:rFonts w:ascii="Times New Roman" w:hAnsi="Times New Roman" w:cs="Times New Roman"/>
          <w:sz w:val="24"/>
          <w:szCs w:val="24"/>
        </w:rPr>
      </w:pPr>
      <w:r w:rsidRPr="00602838">
        <w:rPr>
          <w:rFonts w:ascii="Times New Roman" w:hAnsi="Times New Roman" w:cs="Times New Roman"/>
          <w:color w:val="000000" w:themeColor="text1"/>
          <w:sz w:val="24"/>
          <w:szCs w:val="24"/>
        </w:rPr>
        <w:lastRenderedPageBreak/>
        <w:t xml:space="preserve">Az elkészült településrendezési eszköz véleményeztetése </w:t>
      </w:r>
      <w:r w:rsidR="00602838" w:rsidRPr="00602838">
        <w:rPr>
          <w:rFonts w:ascii="Times New Roman" w:hAnsi="Times New Roman" w:cs="Times New Roman"/>
          <w:color w:val="000000" w:themeColor="text1"/>
          <w:sz w:val="24"/>
          <w:szCs w:val="24"/>
        </w:rPr>
        <w:t>a te</w:t>
      </w:r>
      <w:r w:rsidR="00602838" w:rsidRPr="00602838">
        <w:rPr>
          <w:rFonts w:ascii="Times New Roman" w:hAnsi="Times New Roman" w:cs="Times New Roman"/>
          <w:sz w:val="24"/>
          <w:szCs w:val="24"/>
        </w:rPr>
        <w:t>lepülésrendezési eszköz lakossággal, érdekképviseleti-, civil- és gazdálkodó szervezetekkel történő egyeztetésének szabályait a településfejlesztéssel, településrendezési és településképi feladataival összefüggő partnerségi egyeztetés szabályairól szóló 10/2017. (V.02.) önkormányzati rendelet szerint</w:t>
      </w:r>
      <w:r w:rsidR="00602838">
        <w:rPr>
          <w:rFonts w:ascii="Times New Roman" w:hAnsi="Times New Roman" w:cs="Times New Roman"/>
          <w:sz w:val="24"/>
          <w:szCs w:val="24"/>
        </w:rPr>
        <w:t xml:space="preserve"> és Korm.rendelet 41.§-a alapján</w:t>
      </w:r>
      <w:r w:rsidR="00602838" w:rsidRPr="00602838">
        <w:rPr>
          <w:rFonts w:ascii="Times New Roman" w:hAnsi="Times New Roman" w:cs="Times New Roman"/>
          <w:sz w:val="24"/>
          <w:szCs w:val="24"/>
        </w:rPr>
        <w:t xml:space="preserve"> megtörtént.</w:t>
      </w:r>
    </w:p>
    <w:p w:rsidR="005046ED" w:rsidRDefault="000E484B" w:rsidP="000E484B">
      <w:pPr>
        <w:spacing w:before="100" w:beforeAutospacing="1" w:after="0" w:line="240" w:lineRule="auto"/>
        <w:jc w:val="both"/>
        <w:rPr>
          <w:rFonts w:ascii="Times New Roman" w:eastAsia="Times New Roman" w:hAnsi="Times New Roman" w:cs="Times New Roman"/>
          <w:color w:val="000000"/>
          <w:sz w:val="24"/>
          <w:szCs w:val="24"/>
          <w:lang w:eastAsia="hu-HU"/>
        </w:rPr>
      </w:pPr>
      <w:r w:rsidRPr="000E484B">
        <w:rPr>
          <w:rFonts w:ascii="Times New Roman" w:eastAsia="Times New Roman" w:hAnsi="Times New Roman" w:cs="Times New Roman"/>
          <w:color w:val="000000"/>
          <w:sz w:val="24"/>
          <w:szCs w:val="24"/>
          <w:lang w:eastAsia="hu-HU"/>
        </w:rPr>
        <w:t xml:space="preserve">A partnerségi egyeztetés lezárását követően került sor a végső szakmai véleményezési szakasz lefolytatására. </w:t>
      </w:r>
    </w:p>
    <w:p w:rsidR="005046ED" w:rsidRDefault="000E484B" w:rsidP="000E484B">
      <w:pPr>
        <w:spacing w:before="100" w:beforeAutospacing="1" w:after="0" w:line="240" w:lineRule="auto"/>
        <w:jc w:val="both"/>
        <w:rPr>
          <w:rFonts w:ascii="Times New Roman" w:eastAsia="Times New Roman" w:hAnsi="Times New Roman" w:cs="Times New Roman"/>
          <w:color w:val="000000"/>
          <w:sz w:val="24"/>
          <w:szCs w:val="24"/>
          <w:lang w:eastAsia="hu-HU"/>
        </w:rPr>
      </w:pPr>
      <w:r w:rsidRPr="000E484B">
        <w:rPr>
          <w:rFonts w:ascii="Times New Roman" w:eastAsia="Times New Roman" w:hAnsi="Times New Roman" w:cs="Times New Roman"/>
          <w:color w:val="000000"/>
          <w:sz w:val="24"/>
          <w:szCs w:val="24"/>
          <w:lang w:eastAsia="hu-HU"/>
        </w:rPr>
        <w:t xml:space="preserve">Az állami főépítész hatáskörben eljáró megyei kormányhivatal </w:t>
      </w:r>
      <w:r w:rsidR="00602838">
        <w:rPr>
          <w:rFonts w:ascii="Times New Roman" w:eastAsia="Times New Roman" w:hAnsi="Times New Roman" w:cs="Times New Roman"/>
          <w:color w:val="000000"/>
          <w:sz w:val="24"/>
          <w:szCs w:val="24"/>
          <w:lang w:eastAsia="hu-HU"/>
        </w:rPr>
        <w:t>PE/AF/00048-10/2020</w:t>
      </w:r>
      <w:r w:rsidR="005046ED">
        <w:rPr>
          <w:rFonts w:ascii="Times New Roman" w:eastAsia="Times New Roman" w:hAnsi="Times New Roman" w:cs="Times New Roman"/>
          <w:color w:val="000000"/>
          <w:sz w:val="24"/>
          <w:szCs w:val="24"/>
          <w:lang w:eastAsia="hu-HU"/>
        </w:rPr>
        <w:t xml:space="preserve"> ügyiratszámon kiadta a záró szakmai véleményét.</w:t>
      </w:r>
    </w:p>
    <w:p w:rsidR="005046ED" w:rsidRDefault="000E484B" w:rsidP="000E484B">
      <w:pPr>
        <w:spacing w:before="100" w:beforeAutospacing="1" w:after="0" w:line="240" w:lineRule="auto"/>
        <w:jc w:val="both"/>
        <w:rPr>
          <w:rFonts w:ascii="Times New Roman" w:eastAsia="Times New Roman" w:hAnsi="Times New Roman" w:cs="Times New Roman"/>
          <w:color w:val="000000"/>
          <w:sz w:val="24"/>
          <w:szCs w:val="24"/>
          <w:lang w:eastAsia="hu-HU"/>
        </w:rPr>
      </w:pPr>
      <w:r w:rsidRPr="000E484B">
        <w:rPr>
          <w:rFonts w:ascii="Times New Roman" w:eastAsia="Times New Roman" w:hAnsi="Times New Roman" w:cs="Times New Roman"/>
          <w:color w:val="000000"/>
          <w:sz w:val="24"/>
          <w:szCs w:val="24"/>
          <w:lang w:eastAsia="hu-HU"/>
        </w:rPr>
        <w:t>A településrendezési eszközök módosítása az állami főépítész hatáskörben eljáró megyei kormányhivatal végső szakmai véleményének birtokában hagyható jóvá (a végső szakmai véleményt lásd a mellékletben). </w:t>
      </w:r>
    </w:p>
    <w:p w:rsidR="00FB4DB4" w:rsidRDefault="00FB4DB4" w:rsidP="000E484B">
      <w:pPr>
        <w:spacing w:before="100" w:beforeAutospacing="1"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 HÉSZ módosításról a képviselő-testület minősített többséggel rendeletet alkot, melyet az elfogadást követően az Állami Főépítész részére eljuttat.</w:t>
      </w:r>
    </w:p>
    <w:p w:rsidR="00FB4DB4" w:rsidRDefault="000E484B" w:rsidP="000E484B">
      <w:pPr>
        <w:spacing w:before="100" w:beforeAutospacing="1" w:after="0" w:line="240" w:lineRule="auto"/>
        <w:jc w:val="both"/>
        <w:rPr>
          <w:rFonts w:ascii="Times New Roman" w:eastAsia="Times New Roman" w:hAnsi="Times New Roman" w:cs="Times New Roman"/>
          <w:color w:val="000000"/>
          <w:sz w:val="24"/>
          <w:szCs w:val="24"/>
          <w:lang w:eastAsia="hu-HU"/>
        </w:rPr>
      </w:pPr>
      <w:r w:rsidRPr="000E484B">
        <w:rPr>
          <w:rFonts w:ascii="Times New Roman" w:eastAsia="Times New Roman" w:hAnsi="Times New Roman" w:cs="Times New Roman"/>
          <w:color w:val="000000"/>
          <w:sz w:val="24"/>
          <w:szCs w:val="24"/>
          <w:lang w:eastAsia="hu-HU"/>
        </w:rPr>
        <w:t>Tervező a jóváhagyásra előkészített javított tervanyagot elkészítette. </w:t>
      </w:r>
    </w:p>
    <w:p w:rsidR="00FB4DB4" w:rsidRPr="00FB4DB4" w:rsidRDefault="000E484B" w:rsidP="000E484B">
      <w:pPr>
        <w:spacing w:before="100" w:beforeAutospacing="1" w:after="0" w:line="240" w:lineRule="auto"/>
        <w:jc w:val="both"/>
        <w:rPr>
          <w:rFonts w:ascii="Times New Roman" w:eastAsia="Times New Roman" w:hAnsi="Times New Roman" w:cs="Times New Roman"/>
          <w:sz w:val="24"/>
          <w:szCs w:val="24"/>
          <w:u w:val="single"/>
          <w:lang w:eastAsia="hu-HU"/>
        </w:rPr>
      </w:pPr>
      <w:r w:rsidRPr="000E484B">
        <w:rPr>
          <w:rFonts w:ascii="Times New Roman" w:eastAsia="Times New Roman" w:hAnsi="Times New Roman" w:cs="Times New Roman"/>
          <w:color w:val="000000"/>
          <w:sz w:val="24"/>
          <w:szCs w:val="24"/>
          <w:lang w:eastAsia="hu-HU"/>
        </w:rPr>
        <w:t xml:space="preserve">A Korm. rendelet 43. § (1) </w:t>
      </w:r>
      <w:r w:rsidRPr="00FB4DB4">
        <w:rPr>
          <w:rFonts w:ascii="Times New Roman" w:eastAsia="Times New Roman" w:hAnsi="Times New Roman" w:cs="Times New Roman"/>
          <w:sz w:val="24"/>
          <w:szCs w:val="24"/>
          <w:lang w:eastAsia="hu-HU"/>
        </w:rPr>
        <w:t xml:space="preserve">bekezdés </w:t>
      </w:r>
      <w:r w:rsidR="00FB4DB4" w:rsidRPr="00FB4DB4">
        <w:rPr>
          <w:rFonts w:ascii="Times New Roman" w:eastAsia="Times New Roman" w:hAnsi="Times New Roman" w:cs="Times New Roman"/>
          <w:sz w:val="24"/>
          <w:szCs w:val="24"/>
          <w:lang w:eastAsia="hu-HU"/>
        </w:rPr>
        <w:t>b</w:t>
      </w:r>
      <w:r w:rsidRPr="00FB4DB4">
        <w:rPr>
          <w:rFonts w:ascii="Times New Roman" w:eastAsia="Times New Roman" w:hAnsi="Times New Roman" w:cs="Times New Roman"/>
          <w:sz w:val="24"/>
          <w:szCs w:val="24"/>
          <w:lang w:eastAsia="hu-HU"/>
        </w:rPr>
        <w:t>) pontja alapján a településrendezési eszköz</w:t>
      </w:r>
      <w:r w:rsidR="00FB4DB4" w:rsidRPr="00FB4DB4">
        <w:rPr>
          <w:rFonts w:ascii="Times New Roman" w:eastAsia="Times New Roman" w:hAnsi="Times New Roman" w:cs="Times New Roman"/>
          <w:sz w:val="24"/>
          <w:szCs w:val="24"/>
          <w:lang w:eastAsia="hu-HU"/>
        </w:rPr>
        <w:t xml:space="preserve"> </w:t>
      </w:r>
      <w:r w:rsidR="00FB4DB4" w:rsidRPr="00602838">
        <w:rPr>
          <w:rFonts w:ascii="Times New Roman" w:eastAsia="Times New Roman" w:hAnsi="Times New Roman" w:cs="Times New Roman"/>
          <w:sz w:val="24"/>
          <w:szCs w:val="24"/>
          <w:lang w:eastAsia="hu-HU"/>
        </w:rPr>
        <w:t xml:space="preserve">az egyszerűsített eljárás esetén a településrendezési eszköz (2) bekezdés szerinti </w:t>
      </w:r>
      <w:r w:rsidR="00FB4DB4" w:rsidRPr="00602838">
        <w:rPr>
          <w:rFonts w:ascii="Times New Roman" w:eastAsia="Times New Roman" w:hAnsi="Times New Roman" w:cs="Times New Roman"/>
          <w:sz w:val="24"/>
          <w:szCs w:val="24"/>
          <w:u w:val="single"/>
          <w:lang w:eastAsia="hu-HU"/>
        </w:rPr>
        <w:t>közlését követő 5. napon, de leghamarabb az elfogadástól számított 15. napon</w:t>
      </w:r>
      <w:r w:rsidR="00FB4DB4">
        <w:rPr>
          <w:rFonts w:ascii="Times New Roman" w:eastAsia="Times New Roman" w:hAnsi="Times New Roman" w:cs="Times New Roman"/>
          <w:sz w:val="24"/>
          <w:szCs w:val="24"/>
          <w:u w:val="single"/>
          <w:lang w:eastAsia="hu-HU"/>
        </w:rPr>
        <w:t xml:space="preserve"> lép hatályba.</w:t>
      </w:r>
    </w:p>
    <w:p w:rsidR="000E484B" w:rsidRPr="000E484B" w:rsidRDefault="000E484B" w:rsidP="000E484B">
      <w:pPr>
        <w:spacing w:before="100" w:beforeAutospacing="1" w:after="0" w:line="240" w:lineRule="auto"/>
        <w:jc w:val="both"/>
        <w:rPr>
          <w:rFonts w:ascii="Times New Roman" w:eastAsia="Times New Roman" w:hAnsi="Times New Roman" w:cs="Times New Roman"/>
          <w:color w:val="000000"/>
          <w:sz w:val="24"/>
          <w:szCs w:val="24"/>
          <w:lang w:eastAsia="hu-HU"/>
        </w:rPr>
      </w:pPr>
    </w:p>
    <w:p w:rsidR="000E484B" w:rsidRPr="000E484B" w:rsidRDefault="000E484B" w:rsidP="000E484B">
      <w:pPr>
        <w:spacing w:after="0" w:line="240" w:lineRule="auto"/>
        <w:jc w:val="both"/>
        <w:rPr>
          <w:rFonts w:ascii="Times New Roman" w:hAnsi="Times New Roman" w:cs="Times New Roman"/>
          <w:sz w:val="24"/>
          <w:szCs w:val="24"/>
        </w:rPr>
      </w:pPr>
      <w:r w:rsidRPr="000E484B">
        <w:rPr>
          <w:rFonts w:ascii="Times New Roman" w:hAnsi="Times New Roman" w:cs="Times New Roman"/>
          <w:sz w:val="24"/>
          <w:szCs w:val="24"/>
        </w:rPr>
        <w:t>Telki, 20</w:t>
      </w:r>
      <w:r w:rsidR="005046ED">
        <w:rPr>
          <w:rFonts w:ascii="Times New Roman" w:hAnsi="Times New Roman" w:cs="Times New Roman"/>
          <w:sz w:val="24"/>
          <w:szCs w:val="24"/>
        </w:rPr>
        <w:t>20. július 9</w:t>
      </w:r>
      <w:r w:rsidRPr="000E484B">
        <w:rPr>
          <w:rFonts w:ascii="Times New Roman" w:hAnsi="Times New Roman" w:cs="Times New Roman"/>
          <w:sz w:val="24"/>
          <w:szCs w:val="24"/>
        </w:rPr>
        <w:t>.</w:t>
      </w:r>
      <w:r w:rsidRPr="000E484B">
        <w:rPr>
          <w:rFonts w:ascii="Times New Roman" w:hAnsi="Times New Roman" w:cs="Times New Roman"/>
          <w:sz w:val="24"/>
          <w:szCs w:val="24"/>
        </w:rPr>
        <w:tab/>
      </w:r>
      <w:r w:rsidRPr="000E484B">
        <w:rPr>
          <w:rFonts w:ascii="Times New Roman" w:hAnsi="Times New Roman" w:cs="Times New Roman"/>
          <w:sz w:val="24"/>
          <w:szCs w:val="24"/>
        </w:rPr>
        <w:tab/>
      </w:r>
      <w:r w:rsidRPr="000E484B">
        <w:rPr>
          <w:rFonts w:ascii="Times New Roman" w:hAnsi="Times New Roman" w:cs="Times New Roman"/>
          <w:sz w:val="24"/>
          <w:szCs w:val="24"/>
        </w:rPr>
        <w:tab/>
      </w:r>
      <w:r w:rsidRPr="000E484B">
        <w:rPr>
          <w:rFonts w:ascii="Times New Roman" w:hAnsi="Times New Roman" w:cs="Times New Roman"/>
          <w:sz w:val="24"/>
          <w:szCs w:val="24"/>
        </w:rPr>
        <w:tab/>
      </w:r>
      <w:r w:rsidRPr="000E484B">
        <w:rPr>
          <w:rFonts w:ascii="Times New Roman" w:hAnsi="Times New Roman" w:cs="Times New Roman"/>
          <w:sz w:val="24"/>
          <w:szCs w:val="24"/>
        </w:rPr>
        <w:tab/>
      </w:r>
      <w:r w:rsidRPr="000E484B">
        <w:rPr>
          <w:rFonts w:ascii="Times New Roman" w:hAnsi="Times New Roman" w:cs="Times New Roman"/>
          <w:sz w:val="24"/>
          <w:szCs w:val="24"/>
        </w:rPr>
        <w:tab/>
      </w:r>
    </w:p>
    <w:p w:rsidR="000E484B" w:rsidRPr="000E484B" w:rsidRDefault="000E484B" w:rsidP="000E484B">
      <w:pPr>
        <w:spacing w:after="0" w:line="240" w:lineRule="auto"/>
        <w:jc w:val="both"/>
        <w:rPr>
          <w:rFonts w:ascii="Times New Roman" w:hAnsi="Times New Roman" w:cs="Times New Roman"/>
          <w:sz w:val="24"/>
          <w:szCs w:val="24"/>
        </w:rPr>
      </w:pPr>
    </w:p>
    <w:p w:rsidR="000E484B" w:rsidRPr="000E484B" w:rsidRDefault="000E484B" w:rsidP="000E484B">
      <w:pPr>
        <w:spacing w:after="0" w:line="240" w:lineRule="auto"/>
        <w:jc w:val="center"/>
        <w:rPr>
          <w:rFonts w:ascii="Times New Roman" w:hAnsi="Times New Roman" w:cs="Times New Roman"/>
          <w:sz w:val="24"/>
          <w:szCs w:val="24"/>
        </w:rPr>
      </w:pPr>
      <w:r w:rsidRPr="000E484B">
        <w:rPr>
          <w:rFonts w:ascii="Times New Roman" w:hAnsi="Times New Roman" w:cs="Times New Roman"/>
          <w:sz w:val="24"/>
          <w:szCs w:val="24"/>
        </w:rPr>
        <w:tab/>
      </w:r>
      <w:r w:rsidRPr="000E484B">
        <w:rPr>
          <w:rFonts w:ascii="Times New Roman" w:hAnsi="Times New Roman" w:cs="Times New Roman"/>
          <w:sz w:val="24"/>
          <w:szCs w:val="24"/>
        </w:rPr>
        <w:tab/>
      </w:r>
      <w:r w:rsidRPr="000E484B">
        <w:rPr>
          <w:rFonts w:ascii="Times New Roman" w:hAnsi="Times New Roman" w:cs="Times New Roman"/>
          <w:sz w:val="24"/>
          <w:szCs w:val="24"/>
        </w:rPr>
        <w:tab/>
      </w:r>
      <w:r w:rsidRPr="000E484B">
        <w:rPr>
          <w:rFonts w:ascii="Times New Roman" w:hAnsi="Times New Roman" w:cs="Times New Roman"/>
          <w:sz w:val="24"/>
          <w:szCs w:val="24"/>
        </w:rPr>
        <w:tab/>
      </w:r>
      <w:r w:rsidRPr="000E484B">
        <w:rPr>
          <w:rFonts w:ascii="Times New Roman" w:hAnsi="Times New Roman" w:cs="Times New Roman"/>
          <w:sz w:val="24"/>
          <w:szCs w:val="24"/>
        </w:rPr>
        <w:tab/>
      </w:r>
      <w:r w:rsidRPr="000E484B">
        <w:rPr>
          <w:rFonts w:ascii="Times New Roman" w:hAnsi="Times New Roman" w:cs="Times New Roman"/>
          <w:sz w:val="24"/>
          <w:szCs w:val="24"/>
        </w:rPr>
        <w:tab/>
      </w:r>
      <w:r w:rsidRPr="000E484B">
        <w:rPr>
          <w:rFonts w:ascii="Times New Roman" w:hAnsi="Times New Roman" w:cs="Times New Roman"/>
          <w:sz w:val="24"/>
          <w:szCs w:val="24"/>
        </w:rPr>
        <w:tab/>
      </w:r>
      <w:r w:rsidRPr="000E484B">
        <w:rPr>
          <w:rFonts w:ascii="Times New Roman" w:hAnsi="Times New Roman" w:cs="Times New Roman"/>
          <w:sz w:val="24"/>
          <w:szCs w:val="24"/>
        </w:rPr>
        <w:tab/>
        <w:t>Deltai Károly</w:t>
      </w:r>
    </w:p>
    <w:p w:rsidR="000E484B" w:rsidRDefault="000E484B" w:rsidP="000E484B">
      <w:pPr>
        <w:spacing w:after="0" w:line="240" w:lineRule="auto"/>
        <w:ind w:left="4956" w:firstLine="708"/>
        <w:jc w:val="center"/>
        <w:rPr>
          <w:rFonts w:ascii="Times New Roman" w:hAnsi="Times New Roman" w:cs="Times New Roman"/>
          <w:sz w:val="24"/>
          <w:szCs w:val="24"/>
        </w:rPr>
      </w:pPr>
      <w:r w:rsidRPr="000E484B">
        <w:rPr>
          <w:rFonts w:ascii="Times New Roman" w:hAnsi="Times New Roman" w:cs="Times New Roman"/>
          <w:sz w:val="24"/>
          <w:szCs w:val="24"/>
        </w:rPr>
        <w:t>polgármester</w:t>
      </w:r>
    </w:p>
    <w:p w:rsidR="0033778C" w:rsidRDefault="0033778C" w:rsidP="000E484B">
      <w:pPr>
        <w:spacing w:after="0" w:line="240" w:lineRule="auto"/>
        <w:ind w:left="4956" w:firstLine="708"/>
        <w:jc w:val="center"/>
        <w:rPr>
          <w:rFonts w:ascii="Times New Roman" w:hAnsi="Times New Roman" w:cs="Times New Roman"/>
          <w:sz w:val="24"/>
          <w:szCs w:val="24"/>
        </w:rPr>
      </w:pPr>
    </w:p>
    <w:p w:rsidR="0033778C" w:rsidRDefault="0033778C" w:rsidP="000E484B">
      <w:pPr>
        <w:spacing w:after="0" w:line="240" w:lineRule="auto"/>
        <w:ind w:left="4956" w:firstLine="708"/>
        <w:jc w:val="center"/>
        <w:rPr>
          <w:rFonts w:ascii="Times New Roman" w:hAnsi="Times New Roman" w:cs="Times New Roman"/>
          <w:sz w:val="24"/>
          <w:szCs w:val="24"/>
        </w:rPr>
      </w:pPr>
    </w:p>
    <w:p w:rsidR="0033778C" w:rsidRPr="009453FA" w:rsidRDefault="0033778C" w:rsidP="0033778C">
      <w:pPr>
        <w:spacing w:after="0"/>
        <w:jc w:val="center"/>
        <w:rPr>
          <w:b/>
        </w:rPr>
      </w:pPr>
      <w:r w:rsidRPr="009453FA">
        <w:rPr>
          <w:b/>
        </w:rPr>
        <w:t>Telki Község Önkormányzat Képviselő-testületének</w:t>
      </w:r>
    </w:p>
    <w:p w:rsidR="0033778C" w:rsidRPr="000516CB" w:rsidRDefault="0033778C" w:rsidP="0033778C">
      <w:pPr>
        <w:spacing w:after="0"/>
        <w:jc w:val="center"/>
        <w:rPr>
          <w:b/>
          <w:sz w:val="24"/>
        </w:rPr>
      </w:pPr>
      <w:proofErr w:type="gramStart"/>
      <w:r>
        <w:rPr>
          <w:b/>
          <w:sz w:val="24"/>
        </w:rPr>
        <w:t>..</w:t>
      </w:r>
      <w:proofErr w:type="gramEnd"/>
      <w:r w:rsidRPr="009625D5">
        <w:rPr>
          <w:b/>
          <w:sz w:val="24"/>
        </w:rPr>
        <w:t>/20</w:t>
      </w:r>
      <w:r>
        <w:rPr>
          <w:b/>
          <w:sz w:val="24"/>
        </w:rPr>
        <w:t>20</w:t>
      </w:r>
      <w:r w:rsidRPr="009625D5">
        <w:rPr>
          <w:b/>
          <w:sz w:val="24"/>
        </w:rPr>
        <w:t>. (</w:t>
      </w:r>
      <w:r>
        <w:rPr>
          <w:b/>
          <w:sz w:val="24"/>
        </w:rPr>
        <w:t>.........</w:t>
      </w:r>
      <w:r w:rsidRPr="009625D5">
        <w:rPr>
          <w:b/>
          <w:sz w:val="24"/>
        </w:rPr>
        <w:t xml:space="preserve">.) </w:t>
      </w:r>
      <w:r w:rsidRPr="000516CB">
        <w:rPr>
          <w:b/>
          <w:sz w:val="24"/>
        </w:rPr>
        <w:t>önkormányzati rendelete</w:t>
      </w:r>
    </w:p>
    <w:p w:rsidR="0033778C" w:rsidRDefault="0033778C" w:rsidP="0033778C">
      <w:pPr>
        <w:spacing w:after="0"/>
        <w:jc w:val="center"/>
        <w:rPr>
          <w:b/>
          <w:bCs/>
          <w:sz w:val="24"/>
        </w:rPr>
      </w:pPr>
      <w:r w:rsidRPr="000516CB">
        <w:rPr>
          <w:b/>
          <w:sz w:val="24"/>
        </w:rPr>
        <w:t xml:space="preserve">Telki Község Helyi Építési Szabályzatáról </w:t>
      </w:r>
      <w:r w:rsidRPr="000516CB">
        <w:rPr>
          <w:b/>
          <w:bCs/>
          <w:sz w:val="24"/>
        </w:rPr>
        <w:t>és Szabályozási tervéről</w:t>
      </w:r>
      <w:r>
        <w:rPr>
          <w:b/>
          <w:bCs/>
          <w:sz w:val="24"/>
        </w:rPr>
        <w:t xml:space="preserve"> szóló</w:t>
      </w:r>
    </w:p>
    <w:p w:rsidR="0033778C" w:rsidRPr="000516CB" w:rsidRDefault="0033778C" w:rsidP="0033778C">
      <w:pPr>
        <w:spacing w:after="0"/>
        <w:jc w:val="center"/>
        <w:rPr>
          <w:b/>
          <w:sz w:val="24"/>
        </w:rPr>
      </w:pPr>
      <w:r w:rsidRPr="009625D5">
        <w:rPr>
          <w:b/>
          <w:sz w:val="24"/>
        </w:rPr>
        <w:t xml:space="preserve">15/2016. (XII.13.) </w:t>
      </w:r>
      <w:r w:rsidRPr="000516CB">
        <w:rPr>
          <w:b/>
          <w:sz w:val="24"/>
        </w:rPr>
        <w:t>önkormányzati rendelet</w:t>
      </w:r>
      <w:r>
        <w:rPr>
          <w:b/>
          <w:sz w:val="24"/>
        </w:rPr>
        <w:t xml:space="preserve"> módosításáról</w:t>
      </w:r>
    </w:p>
    <w:p w:rsidR="0033778C" w:rsidRDefault="0033778C" w:rsidP="0033778C">
      <w:pPr>
        <w:spacing w:after="0"/>
      </w:pPr>
    </w:p>
    <w:p w:rsidR="0033778C" w:rsidRDefault="0033778C" w:rsidP="0033778C">
      <w:pPr>
        <w:spacing w:after="0"/>
        <w:jc w:val="both"/>
      </w:pPr>
      <w:r w:rsidRPr="009941B2">
        <w:t>Telki Község Önkormányzatának Képviselő-testülete az épített környezet alakításáról és védelméről szóló 1997. évi LXXVIII. törvény 62. § (6) bekezdés 6. pontjában kapott felhatalmazás alapján, az Alaptörvény 32. cikk (1) bekezdés a) pontjában, a Magyarország helyi önkormányzatairól szóló 2011. évi CLXXXIX. törvény 13. § (1) bekezdés 1. pontjában és az épített környezet alakításáról és védelméről szóló 1997. évi LXXVIII. törvény 13. § (1) bekezdésében</w:t>
      </w:r>
      <w:r w:rsidRPr="000B2879">
        <w:t xml:space="preserve"> meghatározott feladatkörében eljárva, a településfejlesztési koncepcióról, az integrált településfejlesztési stratégiáról és a településrendezési eszközökről, valamint egyes településrendezési sajátos jogintézményekről szóló 314/2012. (Xl. 8.) Korm. rendelet </w:t>
      </w:r>
      <w:r>
        <w:rPr>
          <w:bCs/>
        </w:rPr>
        <w:t>42</w:t>
      </w:r>
      <w:r w:rsidRPr="000B2879">
        <w:rPr>
          <w:b/>
          <w:bCs/>
        </w:rPr>
        <w:t xml:space="preserve">. </w:t>
      </w:r>
      <w:r w:rsidRPr="000B2879">
        <w:t>§</w:t>
      </w:r>
      <w:r>
        <w:t xml:space="preserve">-ában </w:t>
      </w:r>
      <w:r w:rsidRPr="000B2879">
        <w:t xml:space="preserve">biztosított jogkörében eljáró </w:t>
      </w:r>
      <w:r w:rsidRPr="00C63F49">
        <w:rPr>
          <w:rFonts w:cs="Arial Narrow"/>
          <w:lang w:eastAsia="zh-CN"/>
        </w:rPr>
        <w:t>Pest Megyei Kormányhivatal</w:t>
      </w:r>
      <w:r w:rsidRPr="00C63F49">
        <w:rPr>
          <w:rFonts w:ascii="Arial Narrow" w:hAnsi="Arial Narrow"/>
        </w:rPr>
        <w:t xml:space="preserve"> </w:t>
      </w:r>
      <w:r w:rsidRPr="00C63F49">
        <w:rPr>
          <w:rFonts w:cs="Arial Narrow"/>
          <w:lang w:eastAsia="zh-CN"/>
        </w:rPr>
        <w:t xml:space="preserve">Építésügyi, Hatósági, Oktatási és Törvényességi Felügyeleti Főosztály Építésügyi Osztály, Pest Megyei Kormányhivatal Környezetvédelmi és Természetvédelmi Főosztály, Közép-Duna - völgyi Vízügyi Igazgatóság, Pest Megyei Katasztrófavédelmi Igazgatóság, Budapest Főváros Kormányhivatala </w:t>
      </w:r>
      <w:r w:rsidRPr="00C63F49">
        <w:rPr>
          <w:rFonts w:cs="Arial Narrow"/>
          <w:lang w:eastAsia="zh-CN"/>
        </w:rPr>
        <w:lastRenderedPageBreak/>
        <w:t>Kormánymegbízott, Pest Megyei Kormányhivatal Műszaki Engedélyezési és Fogyasztóvédelmi Főosztály Bányászati Osztály</w:t>
      </w:r>
      <w:r w:rsidRPr="00C63F49">
        <w:t>, Pest Megyei Kormányhivatal Műszaki Engedélyezési és Fogyasztóvédelmi Főosztály</w:t>
      </w:r>
      <w:r w:rsidRPr="00C63F49">
        <w:rPr>
          <w:b/>
        </w:rPr>
        <w:t xml:space="preserve">, </w:t>
      </w:r>
      <w:r w:rsidRPr="00C63F49">
        <w:t xml:space="preserve">Pest Megyei Kormányhivatal Érdi Járási Hivatal Járási Építésügyi és Örökségvédelmi Hivatal Örökségvédelmi Osztály, Pest Megyei Kormányhivatal Földhivatali Főosztály, Pest Megyei Kormányhivatal Földművelésügyi és Erdőgazdálkodási Főosztály, Budaörsi Rendőrkapitányság Budakeszi Rendőrőrs Rendészeti Alosztály, Nemzeti Média- és Hírközlési Hatóság Építmény Engedélyezési Osztály, Állami Népegészségügyi és Tisztiorvosi Szolgálat Országos Tisztifőorvosi Hivatal, Magyar Közút Nonprofit Zrt., </w:t>
      </w:r>
      <w:r w:rsidRPr="00C63F49">
        <w:rPr>
          <w:bCs/>
        </w:rPr>
        <w:t xml:space="preserve">Közlekedésfejlesztési Koordinációs Központ, Nemzeti Infrastruktúra Fejlesztő Zrt., </w:t>
      </w:r>
      <w:r w:rsidRPr="00C63F49">
        <w:t>Pest Megye Főépítésze, Budajenő Polgármesteri Hivatal, Nagykovácsi Polgármesteri Hivatal, Páty Község Polgármesteri Hivatal, Tök Polgármesteri Hivatal</w:t>
      </w:r>
    </w:p>
    <w:p w:rsidR="0033778C" w:rsidRDefault="0033778C" w:rsidP="0033778C">
      <w:pPr>
        <w:spacing w:after="0"/>
      </w:pPr>
    </w:p>
    <w:p w:rsidR="0033778C" w:rsidRDefault="0033778C" w:rsidP="0033778C">
      <w:pPr>
        <w:spacing w:after="0"/>
      </w:pPr>
      <w:r w:rsidRPr="00A54B39">
        <w:t>véleményének</w:t>
      </w:r>
      <w:r>
        <w:t xml:space="preserve"> </w:t>
      </w:r>
      <w:r w:rsidRPr="00A54B39">
        <w:t>kikérésével</w:t>
      </w:r>
      <w:r>
        <w:t xml:space="preserve"> </w:t>
      </w:r>
      <w:r w:rsidRPr="00A54B39">
        <w:t>és a</w:t>
      </w:r>
      <w:r>
        <w:t xml:space="preserve"> </w:t>
      </w:r>
      <w:r w:rsidRPr="00A54B39">
        <w:t>partnerségi</w:t>
      </w:r>
      <w:r>
        <w:t xml:space="preserve"> </w:t>
      </w:r>
      <w:r w:rsidRPr="00A54B39">
        <w:t>egyeztetés</w:t>
      </w:r>
      <w:r>
        <w:t xml:space="preserve"> </w:t>
      </w:r>
      <w:r w:rsidRPr="00A54B39">
        <w:t>szabályainak</w:t>
      </w:r>
      <w:r>
        <w:t xml:space="preserve"> </w:t>
      </w:r>
      <w:r w:rsidRPr="00A54B39">
        <w:t>megfelelően</w:t>
      </w:r>
      <w:r>
        <w:t xml:space="preserve"> </w:t>
      </w:r>
      <w:r w:rsidRPr="00A54B39">
        <w:t>a következőket rendeli el:</w:t>
      </w:r>
    </w:p>
    <w:p w:rsidR="0033778C" w:rsidRPr="00EF734D" w:rsidRDefault="0033778C" w:rsidP="0033778C">
      <w:pPr>
        <w:pStyle w:val="Listaszerbekezds"/>
        <w:numPr>
          <w:ilvl w:val="3"/>
          <w:numId w:val="7"/>
        </w:numPr>
        <w:tabs>
          <w:tab w:val="left" w:pos="284"/>
        </w:tabs>
        <w:ind w:left="0" w:firstLine="0"/>
        <w:jc w:val="center"/>
        <w:rPr>
          <w:b/>
          <w:szCs w:val="22"/>
        </w:rPr>
      </w:pPr>
      <w:r w:rsidRPr="00EF734D">
        <w:rPr>
          <w:b/>
          <w:szCs w:val="22"/>
        </w:rPr>
        <w:t>§</w:t>
      </w:r>
    </w:p>
    <w:p w:rsidR="0033778C" w:rsidRDefault="0033778C" w:rsidP="0033778C">
      <w:pPr>
        <w:spacing w:after="0"/>
        <w:jc w:val="center"/>
        <w:rPr>
          <w:b/>
        </w:rPr>
      </w:pPr>
    </w:p>
    <w:p w:rsidR="0033778C" w:rsidRPr="00526DB6" w:rsidRDefault="0033778C" w:rsidP="0033778C">
      <w:pPr>
        <w:widowControl w:val="0"/>
        <w:autoSpaceDE w:val="0"/>
        <w:autoSpaceDN w:val="0"/>
        <w:adjustRightInd w:val="0"/>
        <w:spacing w:after="0"/>
        <w:jc w:val="both"/>
        <w:rPr>
          <w:bCs/>
        </w:rPr>
      </w:pPr>
      <w:r w:rsidRPr="00526DB6">
        <w:rPr>
          <w:bCs/>
        </w:rPr>
        <w:t>Telki Község Önkormányzata Képviselő</w:t>
      </w:r>
      <w:r w:rsidRPr="00526DB6">
        <w:t>t</w:t>
      </w:r>
      <w:r w:rsidRPr="00526DB6">
        <w:rPr>
          <w:bCs/>
        </w:rPr>
        <w:t xml:space="preserve">estületének Telki Község Helyi Építési Szabályzatáról és Szabályozási tervéről szóló </w:t>
      </w:r>
      <w:r w:rsidRPr="00526DB6">
        <w:t xml:space="preserve">15/2016. (XII.13.) </w:t>
      </w:r>
      <w:r w:rsidRPr="00526DB6">
        <w:rPr>
          <w:bCs/>
        </w:rPr>
        <w:t>önkormányzati rendelete (a továbbiakban: Rendelet) 2</w:t>
      </w:r>
      <w:r w:rsidRPr="00526DB6">
        <w:t>.§-a az alábbi pontokkal egészül ki</w:t>
      </w:r>
      <w:r w:rsidRPr="00526DB6">
        <w:rPr>
          <w:bCs/>
        </w:rPr>
        <w:t>:</w:t>
      </w:r>
    </w:p>
    <w:p w:rsidR="0033778C" w:rsidRPr="00EF734D" w:rsidRDefault="0033778C" w:rsidP="0033778C">
      <w:pPr>
        <w:spacing w:after="0"/>
        <w:jc w:val="center"/>
        <w:rPr>
          <w:b/>
        </w:rPr>
      </w:pPr>
    </w:p>
    <w:p w:rsidR="0033778C" w:rsidRPr="003517E6" w:rsidRDefault="0033778C" w:rsidP="0033778C">
      <w:pPr>
        <w:spacing w:after="0"/>
        <w:ind w:left="567"/>
      </w:pPr>
      <w:r w:rsidRPr="003517E6">
        <w:t>„(E rendelet alkalmazásában:)</w:t>
      </w:r>
    </w:p>
    <w:p w:rsidR="0033778C" w:rsidRPr="003517E6" w:rsidRDefault="0033778C" w:rsidP="0033778C">
      <w:pPr>
        <w:pStyle w:val="Listaszerbekezds"/>
        <w:numPr>
          <w:ilvl w:val="0"/>
          <w:numId w:val="2"/>
        </w:numPr>
        <w:spacing w:line="240" w:lineRule="auto"/>
        <w:ind w:left="1134" w:hanging="567"/>
        <w:rPr>
          <w:szCs w:val="22"/>
        </w:rPr>
      </w:pPr>
      <w:r w:rsidRPr="003517E6">
        <w:rPr>
          <w:b/>
          <w:i/>
          <w:szCs w:val="22"/>
        </w:rPr>
        <w:t>Haszonállat</w:t>
      </w:r>
      <w:r w:rsidRPr="003517E6">
        <w:rPr>
          <w:b/>
          <w:szCs w:val="22"/>
        </w:rPr>
        <w:t>:</w:t>
      </w:r>
      <w:r w:rsidRPr="003517E6">
        <w:rPr>
          <w:szCs w:val="22"/>
        </w:rPr>
        <w:t xml:space="preserve"> gazdasági haszon céljára tartott:</w:t>
      </w:r>
    </w:p>
    <w:p w:rsidR="0033778C" w:rsidRPr="003517E6" w:rsidRDefault="0033778C" w:rsidP="0033778C">
      <w:pPr>
        <w:numPr>
          <w:ilvl w:val="0"/>
          <w:numId w:val="3"/>
        </w:numPr>
        <w:spacing w:after="0" w:line="240" w:lineRule="auto"/>
        <w:ind w:left="1701" w:hanging="567"/>
        <w:contextualSpacing/>
        <w:jc w:val="both"/>
        <w:rPr>
          <w:snapToGrid w:val="0"/>
        </w:rPr>
      </w:pPr>
      <w:r w:rsidRPr="003517E6">
        <w:rPr>
          <w:snapToGrid w:val="0"/>
        </w:rPr>
        <w:t>nagytestű haszonállat: ló, szamár, öszvér, szarvasmarha, bivaly,</w:t>
      </w:r>
    </w:p>
    <w:p w:rsidR="0033778C" w:rsidRPr="003517E6" w:rsidRDefault="0033778C" w:rsidP="0033778C">
      <w:pPr>
        <w:numPr>
          <w:ilvl w:val="0"/>
          <w:numId w:val="3"/>
        </w:numPr>
        <w:spacing w:after="0" w:line="240" w:lineRule="auto"/>
        <w:ind w:left="1701" w:hanging="567"/>
        <w:contextualSpacing/>
        <w:jc w:val="both"/>
        <w:rPr>
          <w:snapToGrid w:val="0"/>
        </w:rPr>
      </w:pPr>
      <w:r w:rsidRPr="003517E6">
        <w:rPr>
          <w:snapToGrid w:val="0"/>
        </w:rPr>
        <w:t>közepes testű haszonállat: sertés, juh, kecske,</w:t>
      </w:r>
    </w:p>
    <w:p w:rsidR="0033778C" w:rsidRPr="003517E6" w:rsidRDefault="0033778C" w:rsidP="0033778C">
      <w:pPr>
        <w:numPr>
          <w:ilvl w:val="0"/>
          <w:numId w:val="3"/>
        </w:numPr>
        <w:spacing w:after="0" w:line="240" w:lineRule="auto"/>
        <w:ind w:left="1701" w:hanging="567"/>
        <w:contextualSpacing/>
        <w:jc w:val="both"/>
        <w:rPr>
          <w:snapToGrid w:val="0"/>
        </w:rPr>
      </w:pPr>
      <w:r w:rsidRPr="003517E6">
        <w:rPr>
          <w:snapToGrid w:val="0"/>
        </w:rPr>
        <w:t>kistestű haszonállat: baromfi, galamb, házinyúl, nutria, róka, prémgörény, tenyésztési céllal eb és macska,</w:t>
      </w:r>
    </w:p>
    <w:p w:rsidR="0033778C" w:rsidRPr="003517E6" w:rsidRDefault="0033778C" w:rsidP="0033778C">
      <w:pPr>
        <w:numPr>
          <w:ilvl w:val="0"/>
          <w:numId w:val="3"/>
        </w:numPr>
        <w:spacing w:after="0" w:line="240" w:lineRule="auto"/>
        <w:ind w:left="1701" w:hanging="567"/>
        <w:contextualSpacing/>
        <w:jc w:val="both"/>
        <w:rPr>
          <w:snapToGrid w:val="0"/>
        </w:rPr>
      </w:pPr>
      <w:r w:rsidRPr="003517E6">
        <w:rPr>
          <w:snapToGrid w:val="0"/>
        </w:rPr>
        <w:t xml:space="preserve">egyéb állat: az </w:t>
      </w:r>
      <w:proofErr w:type="gramStart"/>
      <w:r w:rsidRPr="003517E6">
        <w:rPr>
          <w:snapToGrid w:val="0"/>
        </w:rPr>
        <w:t>a)-</w:t>
      </w:r>
      <w:proofErr w:type="gramEnd"/>
      <w:r w:rsidRPr="003517E6">
        <w:rPr>
          <w:snapToGrid w:val="0"/>
        </w:rPr>
        <w:t>c) pontban fel nem sorolt valamennyi emlős, hüllő, hal, madár.</w:t>
      </w:r>
    </w:p>
    <w:p w:rsidR="0033778C" w:rsidRPr="003517E6" w:rsidRDefault="0033778C" w:rsidP="0033778C">
      <w:pPr>
        <w:pStyle w:val="Listaszerbekezds"/>
        <w:numPr>
          <w:ilvl w:val="0"/>
          <w:numId w:val="2"/>
        </w:numPr>
        <w:spacing w:line="240" w:lineRule="auto"/>
        <w:ind w:left="1134" w:hanging="567"/>
        <w:rPr>
          <w:b/>
          <w:i/>
          <w:szCs w:val="22"/>
        </w:rPr>
      </w:pPr>
      <w:r w:rsidRPr="003517E6">
        <w:rPr>
          <w:b/>
          <w:i/>
          <w:szCs w:val="22"/>
        </w:rPr>
        <w:t>Üzemszerű állattartás:</w:t>
      </w:r>
    </w:p>
    <w:p w:rsidR="0033778C" w:rsidRPr="003517E6" w:rsidRDefault="0033778C" w:rsidP="0033778C">
      <w:pPr>
        <w:numPr>
          <w:ilvl w:val="0"/>
          <w:numId w:val="4"/>
        </w:numPr>
        <w:spacing w:after="0" w:line="240" w:lineRule="auto"/>
        <w:ind w:left="1701" w:hanging="567"/>
        <w:contextualSpacing/>
        <w:jc w:val="both"/>
        <w:rPr>
          <w:snapToGrid w:val="0"/>
        </w:rPr>
      </w:pPr>
      <w:r w:rsidRPr="003517E6">
        <w:rPr>
          <w:snapToGrid w:val="0"/>
        </w:rPr>
        <w:t>5 vagy több nagytestű haszonállat tartása,</w:t>
      </w:r>
    </w:p>
    <w:p w:rsidR="0033778C" w:rsidRPr="003517E6" w:rsidRDefault="0033778C" w:rsidP="0033778C">
      <w:pPr>
        <w:numPr>
          <w:ilvl w:val="0"/>
          <w:numId w:val="4"/>
        </w:numPr>
        <w:spacing w:after="0" w:line="240" w:lineRule="auto"/>
        <w:ind w:left="1701" w:hanging="567"/>
        <w:contextualSpacing/>
        <w:jc w:val="both"/>
        <w:rPr>
          <w:snapToGrid w:val="0"/>
        </w:rPr>
      </w:pPr>
      <w:r w:rsidRPr="003517E6">
        <w:rPr>
          <w:snapToGrid w:val="0"/>
        </w:rPr>
        <w:t>15 vagy több közepes testű haszonállat tartása,</w:t>
      </w:r>
    </w:p>
    <w:p w:rsidR="0033778C" w:rsidRPr="003517E6" w:rsidRDefault="0033778C" w:rsidP="0033778C">
      <w:pPr>
        <w:numPr>
          <w:ilvl w:val="0"/>
          <w:numId w:val="4"/>
        </w:numPr>
        <w:spacing w:after="0" w:line="240" w:lineRule="auto"/>
        <w:ind w:left="1701" w:hanging="567"/>
        <w:contextualSpacing/>
        <w:jc w:val="both"/>
        <w:rPr>
          <w:snapToGrid w:val="0"/>
        </w:rPr>
      </w:pPr>
      <w:r w:rsidRPr="003517E6">
        <w:rPr>
          <w:snapToGrid w:val="0"/>
        </w:rPr>
        <w:t>150 darabnál több vegyes szárnyas tartása,</w:t>
      </w:r>
    </w:p>
    <w:p w:rsidR="0033778C" w:rsidRPr="003517E6" w:rsidRDefault="0033778C" w:rsidP="0033778C">
      <w:pPr>
        <w:numPr>
          <w:ilvl w:val="0"/>
          <w:numId w:val="4"/>
        </w:numPr>
        <w:spacing w:after="0" w:line="240" w:lineRule="auto"/>
        <w:ind w:left="1701" w:hanging="567"/>
        <w:contextualSpacing/>
        <w:jc w:val="both"/>
        <w:rPr>
          <w:snapToGrid w:val="0"/>
        </w:rPr>
      </w:pPr>
      <w:r w:rsidRPr="003517E6">
        <w:rPr>
          <w:snapToGrid w:val="0"/>
        </w:rPr>
        <w:t>50 darabnál több prémes állat tartása,</w:t>
      </w:r>
    </w:p>
    <w:p w:rsidR="0033778C" w:rsidRPr="003517E6" w:rsidRDefault="0033778C" w:rsidP="0033778C">
      <w:pPr>
        <w:numPr>
          <w:ilvl w:val="0"/>
          <w:numId w:val="4"/>
        </w:numPr>
        <w:spacing w:after="0" w:line="240" w:lineRule="auto"/>
        <w:ind w:left="1701" w:hanging="567"/>
        <w:jc w:val="both"/>
        <w:rPr>
          <w:snapToGrid w:val="0"/>
        </w:rPr>
      </w:pPr>
      <w:r w:rsidRPr="003517E6">
        <w:rPr>
          <w:snapToGrid w:val="0"/>
        </w:rPr>
        <w:t>egyéb állat eladásra történő tenyésztése.”</w:t>
      </w:r>
    </w:p>
    <w:p w:rsidR="0033778C" w:rsidRPr="003517E6" w:rsidRDefault="0033778C" w:rsidP="0033778C">
      <w:pPr>
        <w:spacing w:after="0"/>
        <w:jc w:val="center"/>
        <w:rPr>
          <w:b/>
        </w:rPr>
      </w:pPr>
    </w:p>
    <w:p w:rsidR="0033778C" w:rsidRPr="002E6FCE" w:rsidRDefault="0033778C" w:rsidP="002E6FCE">
      <w:pPr>
        <w:pStyle w:val="Listaszerbekezds"/>
        <w:numPr>
          <w:ilvl w:val="3"/>
          <w:numId w:val="7"/>
        </w:numPr>
        <w:tabs>
          <w:tab w:val="left" w:pos="284"/>
        </w:tabs>
        <w:ind w:left="0" w:firstLine="0"/>
        <w:jc w:val="center"/>
        <w:rPr>
          <w:b/>
          <w:szCs w:val="22"/>
        </w:rPr>
      </w:pPr>
      <w:r w:rsidRPr="003517E6">
        <w:rPr>
          <w:b/>
          <w:szCs w:val="22"/>
        </w:rPr>
        <w:t>§</w:t>
      </w:r>
    </w:p>
    <w:p w:rsidR="0033778C" w:rsidRPr="003517E6" w:rsidRDefault="0033778C" w:rsidP="0033778C">
      <w:pPr>
        <w:widowControl w:val="0"/>
        <w:autoSpaceDE w:val="0"/>
        <w:autoSpaceDN w:val="0"/>
        <w:adjustRightInd w:val="0"/>
        <w:spacing w:after="0"/>
        <w:rPr>
          <w:bCs/>
        </w:rPr>
      </w:pPr>
      <w:r w:rsidRPr="003517E6">
        <w:rPr>
          <w:bCs/>
        </w:rPr>
        <w:t>A Rendelet 9</w:t>
      </w:r>
      <w:r w:rsidRPr="003517E6">
        <w:t>.§-a az alábbi (6) bekezdéssel</w:t>
      </w:r>
      <w:r w:rsidRPr="003517E6">
        <w:rPr>
          <w:bCs/>
        </w:rPr>
        <w:t xml:space="preserve"> egészül ki:</w:t>
      </w:r>
    </w:p>
    <w:p w:rsidR="0033778C" w:rsidRPr="003517E6" w:rsidRDefault="0033778C" w:rsidP="0033778C">
      <w:pPr>
        <w:widowControl w:val="0"/>
        <w:autoSpaceDE w:val="0"/>
        <w:autoSpaceDN w:val="0"/>
        <w:adjustRightInd w:val="0"/>
        <w:spacing w:after="0"/>
        <w:rPr>
          <w:bCs/>
        </w:rPr>
      </w:pPr>
    </w:p>
    <w:p w:rsidR="0033778C" w:rsidRPr="003517E6" w:rsidRDefault="0033778C" w:rsidP="0033778C">
      <w:pPr>
        <w:spacing w:after="0" w:line="240" w:lineRule="auto"/>
        <w:ind w:left="1134" w:hanging="567"/>
        <w:rPr>
          <w:i/>
        </w:rPr>
      </w:pPr>
      <w:r w:rsidRPr="003517E6">
        <w:t>„(6)</w:t>
      </w:r>
      <w:r w:rsidRPr="003517E6">
        <w:tab/>
      </w:r>
      <w:r w:rsidRPr="003517E6">
        <w:rPr>
          <w:rFonts w:eastAsia="Calibri"/>
        </w:rPr>
        <w:t>A szabályozási tervlapon „Beültetési kötelezettség” jelölésű terület többszintes növényállományként alakítandó ki.”</w:t>
      </w:r>
    </w:p>
    <w:p w:rsidR="0033778C" w:rsidRPr="003517E6" w:rsidRDefault="0033778C" w:rsidP="0033778C">
      <w:pPr>
        <w:widowControl w:val="0"/>
        <w:autoSpaceDE w:val="0"/>
        <w:autoSpaceDN w:val="0"/>
        <w:adjustRightInd w:val="0"/>
        <w:spacing w:after="0"/>
        <w:rPr>
          <w:bCs/>
        </w:rPr>
      </w:pPr>
    </w:p>
    <w:p w:rsidR="0033778C" w:rsidRPr="002E6FCE" w:rsidRDefault="0033778C" w:rsidP="002E6FCE">
      <w:pPr>
        <w:pStyle w:val="Listaszerbekezds"/>
        <w:numPr>
          <w:ilvl w:val="3"/>
          <w:numId w:val="7"/>
        </w:numPr>
        <w:tabs>
          <w:tab w:val="left" w:pos="284"/>
        </w:tabs>
        <w:ind w:left="0" w:firstLine="0"/>
        <w:jc w:val="center"/>
        <w:rPr>
          <w:b/>
          <w:szCs w:val="22"/>
        </w:rPr>
      </w:pPr>
      <w:r w:rsidRPr="003517E6">
        <w:rPr>
          <w:b/>
          <w:szCs w:val="22"/>
        </w:rPr>
        <w:t>§</w:t>
      </w:r>
    </w:p>
    <w:p w:rsidR="0033778C" w:rsidRPr="003517E6" w:rsidRDefault="0033778C" w:rsidP="0033778C">
      <w:pPr>
        <w:widowControl w:val="0"/>
        <w:autoSpaceDE w:val="0"/>
        <w:autoSpaceDN w:val="0"/>
        <w:adjustRightInd w:val="0"/>
        <w:spacing w:after="0"/>
        <w:rPr>
          <w:bCs/>
        </w:rPr>
      </w:pPr>
      <w:r w:rsidRPr="003517E6">
        <w:rPr>
          <w:bCs/>
        </w:rPr>
        <w:t>A Rendelet 3</w:t>
      </w:r>
      <w:r w:rsidRPr="003517E6">
        <w:t>1.§ (21) bekezdése</w:t>
      </w:r>
      <w:r w:rsidRPr="003517E6">
        <w:rPr>
          <w:bCs/>
        </w:rPr>
        <w:t xml:space="preserve"> </w:t>
      </w:r>
      <w:r w:rsidRPr="003517E6">
        <w:rPr>
          <w:bCs/>
          <w:iCs/>
        </w:rPr>
        <w:t>helyébe a következő rendelkezés lép</w:t>
      </w:r>
      <w:r w:rsidRPr="003517E6">
        <w:rPr>
          <w:bCs/>
        </w:rPr>
        <w:t>:</w:t>
      </w:r>
    </w:p>
    <w:p w:rsidR="0033778C" w:rsidRPr="003517E6" w:rsidRDefault="0033778C" w:rsidP="0033778C">
      <w:pPr>
        <w:spacing w:after="0"/>
        <w:jc w:val="center"/>
        <w:rPr>
          <w:b/>
          <w:sz w:val="16"/>
          <w:szCs w:val="16"/>
        </w:rPr>
      </w:pPr>
    </w:p>
    <w:p w:rsidR="0033778C" w:rsidRPr="002E6FCE" w:rsidRDefault="0033778C" w:rsidP="002E6FCE">
      <w:pPr>
        <w:spacing w:after="0" w:line="240" w:lineRule="auto"/>
        <w:ind w:left="1134" w:hanging="567"/>
        <w:contextualSpacing/>
        <w:jc w:val="both"/>
      </w:pPr>
      <w:r w:rsidRPr="003517E6">
        <w:t>„(21)</w:t>
      </w:r>
      <w:r w:rsidRPr="003517E6">
        <w:tab/>
        <w:t>Oldalhatáron álló beépítési mód esetén - amennyiben a telepítési távolság lehetővé teszi, - az új épületet az oldalkerttel átellenes telekhatártól 1,0</w:t>
      </w:r>
      <w:r>
        <w:t xml:space="preserve"> </w:t>
      </w:r>
      <w:r w:rsidRPr="003517E6">
        <w:t>m távolságra (csurgó távolságra) kell elhelyezni. Az épület ezen oldalhomlokzati felülete legalább 2/3-ad részének ezen építési határvonalon kell állnia, legfeljebb 1/3-ad részének pedig az építési határvonaltól (csurgó távolságtól) mért 1,9 m-en belül (azaz a telekhatártól mért 2,9 m-en belül) kell állnia.</w:t>
      </w:r>
      <w:r w:rsidRPr="003517E6" w:rsidDel="00EC5127">
        <w:t xml:space="preserve"> </w:t>
      </w:r>
      <w:r w:rsidRPr="003517E6">
        <w:t xml:space="preserve">Fentiek nem vonatkoznak arra az esetre, ha az oldalkerttel átellenes telekhatárral </w:t>
      </w:r>
      <w:r w:rsidRPr="003517E6">
        <w:lastRenderedPageBreak/>
        <w:t>szomszédos ingatlan utcafronti telekszélessége eléri a 30 m-t, továbbá nem alkalmazandók az Lke-A3 (1) és az Lke-A3 (2) építési övezetre. Védett utcakép esetén az új épület teljes oldalhomlokzati felülete minden esetben a csurgó távolság menti építési határvonalon kell álljon.”</w:t>
      </w:r>
    </w:p>
    <w:p w:rsidR="0033778C" w:rsidRPr="002E6FCE" w:rsidRDefault="0033778C" w:rsidP="002E6FCE">
      <w:pPr>
        <w:pStyle w:val="Listaszerbekezds"/>
        <w:numPr>
          <w:ilvl w:val="3"/>
          <w:numId w:val="7"/>
        </w:numPr>
        <w:tabs>
          <w:tab w:val="left" w:pos="284"/>
        </w:tabs>
        <w:ind w:left="0" w:firstLine="0"/>
        <w:jc w:val="center"/>
        <w:rPr>
          <w:b/>
          <w:szCs w:val="22"/>
        </w:rPr>
      </w:pPr>
      <w:r w:rsidRPr="003517E6">
        <w:rPr>
          <w:b/>
          <w:szCs w:val="22"/>
        </w:rPr>
        <w:t>§</w:t>
      </w:r>
    </w:p>
    <w:p w:rsidR="0033778C" w:rsidRPr="003517E6" w:rsidRDefault="0033778C" w:rsidP="0033778C">
      <w:pPr>
        <w:pStyle w:val="Listaszerbekezds"/>
        <w:widowControl w:val="0"/>
        <w:numPr>
          <w:ilvl w:val="0"/>
          <w:numId w:val="9"/>
        </w:numPr>
        <w:autoSpaceDE w:val="0"/>
        <w:autoSpaceDN w:val="0"/>
        <w:adjustRightInd w:val="0"/>
        <w:ind w:left="567" w:hanging="567"/>
        <w:rPr>
          <w:bCs/>
          <w:szCs w:val="22"/>
        </w:rPr>
      </w:pPr>
      <w:r w:rsidRPr="003517E6">
        <w:rPr>
          <w:bCs/>
          <w:szCs w:val="22"/>
        </w:rPr>
        <w:t>A Rendelet 3</w:t>
      </w:r>
      <w:r>
        <w:rPr>
          <w:bCs/>
          <w:szCs w:val="22"/>
        </w:rPr>
        <w:t>3. § (2)</w:t>
      </w:r>
      <w:r w:rsidRPr="003517E6">
        <w:rPr>
          <w:bCs/>
          <w:szCs w:val="22"/>
        </w:rPr>
        <w:t xml:space="preserve"> </w:t>
      </w:r>
      <w:r w:rsidRPr="003517E6">
        <w:rPr>
          <w:szCs w:val="22"/>
        </w:rPr>
        <w:t>bekezdése</w:t>
      </w:r>
      <w:r w:rsidRPr="003517E6">
        <w:rPr>
          <w:bCs/>
          <w:szCs w:val="22"/>
        </w:rPr>
        <w:t xml:space="preserve"> </w:t>
      </w:r>
      <w:r w:rsidRPr="003517E6">
        <w:rPr>
          <w:bCs/>
          <w:iCs/>
          <w:szCs w:val="22"/>
        </w:rPr>
        <w:t>helyébe a következő rendelkezés lép</w:t>
      </w:r>
      <w:r w:rsidRPr="003517E6">
        <w:rPr>
          <w:bCs/>
          <w:szCs w:val="22"/>
        </w:rPr>
        <w:t xml:space="preserve">: </w:t>
      </w:r>
    </w:p>
    <w:p w:rsidR="0033778C" w:rsidRDefault="0033778C" w:rsidP="0033778C">
      <w:pPr>
        <w:spacing w:after="0"/>
        <w:jc w:val="center"/>
        <w:rPr>
          <w:b/>
        </w:rPr>
      </w:pPr>
    </w:p>
    <w:p w:rsidR="0033778C" w:rsidRDefault="0033778C" w:rsidP="0033778C">
      <w:pPr>
        <w:spacing w:after="0" w:line="240" w:lineRule="auto"/>
        <w:ind w:left="1134" w:hanging="567"/>
        <w:jc w:val="both"/>
      </w:pPr>
      <w:r>
        <w:t>„(2)</w:t>
      </w:r>
      <w:r>
        <w:tab/>
      </w:r>
      <w:r w:rsidRPr="00641C93">
        <w:t xml:space="preserve">Lakóterületen a telekterület-mérettől függetlenül </w:t>
      </w:r>
      <w:r>
        <w:t>az</w:t>
      </w:r>
      <w:r w:rsidRPr="00641C93">
        <w:t xml:space="preserve"> épület </w:t>
      </w:r>
      <w:r>
        <w:t xml:space="preserve">bruttó </w:t>
      </w:r>
      <w:r w:rsidRPr="00641C93">
        <w:t>alapterülete - az építési övezetre vonatkozó eltérő előírás hiányában – legfeljebb 500 m</w:t>
      </w:r>
      <w:r w:rsidRPr="00641C93">
        <w:rPr>
          <w:vertAlign w:val="superscript"/>
        </w:rPr>
        <w:t>2</w:t>
      </w:r>
      <w:r w:rsidRPr="00641C93">
        <w:t xml:space="preserve"> lehet.</w:t>
      </w:r>
    </w:p>
    <w:p w:rsidR="002E6FCE" w:rsidRDefault="002E6FCE" w:rsidP="0033778C">
      <w:pPr>
        <w:spacing w:after="0" w:line="240" w:lineRule="auto"/>
        <w:ind w:left="1134" w:hanging="567"/>
        <w:jc w:val="both"/>
      </w:pPr>
    </w:p>
    <w:p w:rsidR="0033778C" w:rsidRPr="002E6FCE" w:rsidRDefault="0033778C" w:rsidP="002E6FCE">
      <w:pPr>
        <w:pStyle w:val="Listaszerbekezds"/>
        <w:numPr>
          <w:ilvl w:val="3"/>
          <w:numId w:val="7"/>
        </w:numPr>
        <w:tabs>
          <w:tab w:val="left" w:pos="284"/>
        </w:tabs>
        <w:ind w:left="0" w:firstLine="0"/>
        <w:jc w:val="center"/>
        <w:rPr>
          <w:b/>
          <w:szCs w:val="22"/>
        </w:rPr>
      </w:pPr>
      <w:r w:rsidRPr="003517E6">
        <w:rPr>
          <w:b/>
          <w:szCs w:val="22"/>
        </w:rPr>
        <w:t>§</w:t>
      </w:r>
    </w:p>
    <w:p w:rsidR="0033778C" w:rsidRPr="003517E6" w:rsidRDefault="0033778C" w:rsidP="0033778C">
      <w:pPr>
        <w:pStyle w:val="Listaszerbekezds"/>
        <w:widowControl w:val="0"/>
        <w:numPr>
          <w:ilvl w:val="0"/>
          <w:numId w:val="9"/>
        </w:numPr>
        <w:autoSpaceDE w:val="0"/>
        <w:autoSpaceDN w:val="0"/>
        <w:adjustRightInd w:val="0"/>
        <w:ind w:left="567" w:hanging="567"/>
        <w:rPr>
          <w:bCs/>
          <w:szCs w:val="22"/>
        </w:rPr>
      </w:pPr>
      <w:r w:rsidRPr="003517E6">
        <w:rPr>
          <w:bCs/>
          <w:szCs w:val="22"/>
        </w:rPr>
        <w:t xml:space="preserve">A Rendelet 35. §-a az alábbi (1a) bekezdéssel egészül ki: </w:t>
      </w:r>
    </w:p>
    <w:p w:rsidR="0033778C" w:rsidRPr="003517E6" w:rsidRDefault="0033778C" w:rsidP="0033778C">
      <w:pPr>
        <w:pStyle w:val="Listaszerbekezds"/>
        <w:widowControl w:val="0"/>
        <w:autoSpaceDE w:val="0"/>
        <w:autoSpaceDN w:val="0"/>
        <w:adjustRightInd w:val="0"/>
        <w:ind w:left="567"/>
        <w:contextualSpacing w:val="0"/>
        <w:rPr>
          <w:bCs/>
          <w:szCs w:val="22"/>
        </w:rPr>
      </w:pPr>
    </w:p>
    <w:p w:rsidR="0033778C" w:rsidRDefault="0033778C" w:rsidP="0033778C">
      <w:pPr>
        <w:spacing w:after="0" w:line="240" w:lineRule="auto"/>
        <w:ind w:left="1134" w:hanging="567"/>
        <w:jc w:val="both"/>
      </w:pPr>
      <w:r w:rsidRPr="003517E6">
        <w:t>„(1a)</w:t>
      </w:r>
      <w:r w:rsidRPr="003517E6">
        <w:tab/>
        <w:t>Az Lke-K1 (1) és az Lke-A1 jelű építési övezetekben a szabályozási terven jelölt „Védett utcakép kötelezően oromfalas beépítéssel” érintett ingatlanok oromfalas beépítése esetén az épület-magasság megengedett legnagyobb mértéke 5,0 m.”</w:t>
      </w:r>
    </w:p>
    <w:p w:rsidR="0033778C" w:rsidRDefault="0033778C" w:rsidP="0033778C">
      <w:pPr>
        <w:spacing w:after="0" w:line="240" w:lineRule="auto"/>
        <w:ind w:left="1134" w:hanging="567"/>
        <w:jc w:val="both"/>
      </w:pPr>
    </w:p>
    <w:p w:rsidR="0033778C" w:rsidRPr="00B703B0" w:rsidRDefault="0033778C" w:rsidP="0033778C">
      <w:pPr>
        <w:pStyle w:val="Listaszerbekezds"/>
        <w:widowControl w:val="0"/>
        <w:numPr>
          <w:ilvl w:val="0"/>
          <w:numId w:val="9"/>
        </w:numPr>
        <w:autoSpaceDE w:val="0"/>
        <w:autoSpaceDN w:val="0"/>
        <w:adjustRightInd w:val="0"/>
        <w:ind w:left="567" w:hanging="567"/>
        <w:rPr>
          <w:bCs/>
          <w:szCs w:val="22"/>
        </w:rPr>
      </w:pPr>
      <w:r w:rsidRPr="00B703B0">
        <w:rPr>
          <w:bCs/>
          <w:szCs w:val="22"/>
        </w:rPr>
        <w:t>A Rendelet 35. § (1</w:t>
      </w:r>
      <w:r>
        <w:rPr>
          <w:bCs/>
          <w:szCs w:val="22"/>
        </w:rPr>
        <w:t>1</w:t>
      </w:r>
      <w:r w:rsidRPr="00B703B0">
        <w:rPr>
          <w:bCs/>
          <w:szCs w:val="22"/>
        </w:rPr>
        <w:t xml:space="preserve">) </w:t>
      </w:r>
      <w:r w:rsidRPr="00B703B0">
        <w:rPr>
          <w:szCs w:val="22"/>
        </w:rPr>
        <w:t xml:space="preserve">bekezdés a) pontja </w:t>
      </w:r>
      <w:r w:rsidRPr="00B703B0">
        <w:rPr>
          <w:bCs/>
          <w:szCs w:val="22"/>
        </w:rPr>
        <w:t>helyébe a következő rendelkezés lép:</w:t>
      </w:r>
    </w:p>
    <w:p w:rsidR="0033778C" w:rsidRDefault="0033778C" w:rsidP="0033778C">
      <w:pPr>
        <w:widowControl w:val="0"/>
        <w:autoSpaceDE w:val="0"/>
        <w:autoSpaceDN w:val="0"/>
        <w:adjustRightInd w:val="0"/>
        <w:spacing w:after="0"/>
        <w:jc w:val="both"/>
        <w:rPr>
          <w:bCs/>
        </w:rPr>
      </w:pPr>
    </w:p>
    <w:p w:rsidR="0033778C" w:rsidRDefault="0033778C" w:rsidP="0033778C">
      <w:pPr>
        <w:widowControl w:val="0"/>
        <w:autoSpaceDE w:val="0"/>
        <w:autoSpaceDN w:val="0"/>
        <w:adjustRightInd w:val="0"/>
        <w:spacing w:after="0"/>
        <w:ind w:left="1134"/>
        <w:jc w:val="both"/>
        <w:rPr>
          <w:i/>
        </w:rPr>
      </w:pPr>
      <w:r w:rsidRPr="0016015F">
        <w:rPr>
          <w:i/>
        </w:rPr>
        <w:t xml:space="preserve">(Az </w:t>
      </w:r>
      <w:r w:rsidRPr="0016015F">
        <w:rPr>
          <w:b/>
          <w:bCs/>
          <w:i/>
        </w:rPr>
        <w:t>Lke-L(Z)</w:t>
      </w:r>
      <w:r w:rsidRPr="0016015F">
        <w:rPr>
          <w:i/>
        </w:rPr>
        <w:t xml:space="preserve"> jelű építési övezetekben)</w:t>
      </w:r>
    </w:p>
    <w:p w:rsidR="0033778C" w:rsidRPr="0016015F" w:rsidRDefault="0033778C" w:rsidP="0033778C">
      <w:pPr>
        <w:widowControl w:val="0"/>
        <w:autoSpaceDE w:val="0"/>
        <w:autoSpaceDN w:val="0"/>
        <w:adjustRightInd w:val="0"/>
        <w:spacing w:after="0"/>
        <w:ind w:left="1134"/>
        <w:jc w:val="both"/>
        <w:rPr>
          <w:bCs/>
          <w:i/>
        </w:rPr>
      </w:pPr>
    </w:p>
    <w:p w:rsidR="0033778C" w:rsidRPr="00B703B0" w:rsidRDefault="0033778C" w:rsidP="0033778C">
      <w:pPr>
        <w:spacing w:after="0" w:line="240" w:lineRule="auto"/>
        <w:ind w:left="1701" w:hanging="567"/>
        <w:jc w:val="both"/>
      </w:pPr>
      <w:r w:rsidRPr="00B703B0">
        <w:t>„a)</w:t>
      </w:r>
      <w:r w:rsidRPr="00B703B0">
        <w:tab/>
      </w:r>
      <w:r>
        <w:t>telkenként kizárólag egy darab, egylakásos, legfeljebb 200 m</w:t>
      </w:r>
      <w:r w:rsidRPr="009D0E42">
        <w:rPr>
          <w:vertAlign w:val="superscript"/>
        </w:rPr>
        <w:t>2</w:t>
      </w:r>
      <w:r>
        <w:t xml:space="preserve"> bruttó alapterületű lakóépület </w:t>
      </w:r>
      <w:r w:rsidRPr="00641C93">
        <w:t>helyezhető el, egyéb épület, a 3</w:t>
      </w:r>
      <w:r>
        <w:t>4</w:t>
      </w:r>
      <w:r w:rsidRPr="00641C93">
        <w:t>.§ (8) bekezdés szerinti személygépkocsi-tároló kivételével, nem létesíthető</w:t>
      </w:r>
      <w:r w:rsidRPr="00B703B0">
        <w:t>,”</w:t>
      </w:r>
    </w:p>
    <w:p w:rsidR="0033778C" w:rsidRPr="003517E6" w:rsidRDefault="0033778C" w:rsidP="0033778C">
      <w:pPr>
        <w:spacing w:after="0" w:line="240" w:lineRule="auto"/>
        <w:jc w:val="both"/>
      </w:pPr>
    </w:p>
    <w:p w:rsidR="0033778C" w:rsidRPr="00B703B0" w:rsidRDefault="0033778C" w:rsidP="0033778C">
      <w:pPr>
        <w:pStyle w:val="Listaszerbekezds"/>
        <w:widowControl w:val="0"/>
        <w:numPr>
          <w:ilvl w:val="0"/>
          <w:numId w:val="9"/>
        </w:numPr>
        <w:autoSpaceDE w:val="0"/>
        <w:autoSpaceDN w:val="0"/>
        <w:adjustRightInd w:val="0"/>
        <w:ind w:left="567" w:hanging="567"/>
        <w:rPr>
          <w:bCs/>
          <w:szCs w:val="22"/>
        </w:rPr>
      </w:pPr>
      <w:r w:rsidRPr="00B703B0">
        <w:rPr>
          <w:bCs/>
          <w:szCs w:val="22"/>
        </w:rPr>
        <w:t xml:space="preserve">A Rendelet 35. § (12) </w:t>
      </w:r>
      <w:r w:rsidRPr="00B703B0">
        <w:rPr>
          <w:szCs w:val="22"/>
        </w:rPr>
        <w:t xml:space="preserve">bekezdés a) pontja </w:t>
      </w:r>
      <w:r w:rsidRPr="00B703B0">
        <w:rPr>
          <w:bCs/>
          <w:szCs w:val="22"/>
        </w:rPr>
        <w:t>helyébe a következő rendelkezés lép:</w:t>
      </w:r>
    </w:p>
    <w:p w:rsidR="0033778C" w:rsidRDefault="0033778C" w:rsidP="0033778C">
      <w:pPr>
        <w:widowControl w:val="0"/>
        <w:autoSpaceDE w:val="0"/>
        <w:autoSpaceDN w:val="0"/>
        <w:adjustRightInd w:val="0"/>
        <w:spacing w:after="0"/>
        <w:jc w:val="both"/>
        <w:rPr>
          <w:bCs/>
        </w:rPr>
      </w:pPr>
    </w:p>
    <w:p w:rsidR="0033778C" w:rsidRDefault="0033778C" w:rsidP="0033778C">
      <w:pPr>
        <w:widowControl w:val="0"/>
        <w:autoSpaceDE w:val="0"/>
        <w:autoSpaceDN w:val="0"/>
        <w:adjustRightInd w:val="0"/>
        <w:spacing w:after="0"/>
        <w:ind w:left="1134"/>
        <w:jc w:val="both"/>
        <w:rPr>
          <w:i/>
        </w:rPr>
      </w:pPr>
      <w:r w:rsidRPr="0016015F">
        <w:rPr>
          <w:i/>
        </w:rPr>
        <w:t xml:space="preserve">(Az </w:t>
      </w:r>
      <w:r w:rsidRPr="0016015F">
        <w:rPr>
          <w:b/>
          <w:bCs/>
          <w:i/>
        </w:rPr>
        <w:t>Lke-L(Ü)</w:t>
      </w:r>
      <w:r w:rsidRPr="0016015F">
        <w:rPr>
          <w:i/>
        </w:rPr>
        <w:t xml:space="preserve"> jelű építési övezetekben)</w:t>
      </w:r>
    </w:p>
    <w:p w:rsidR="0033778C" w:rsidRPr="0016015F" w:rsidRDefault="0033778C" w:rsidP="0033778C">
      <w:pPr>
        <w:widowControl w:val="0"/>
        <w:autoSpaceDE w:val="0"/>
        <w:autoSpaceDN w:val="0"/>
        <w:adjustRightInd w:val="0"/>
        <w:spacing w:after="0"/>
        <w:ind w:left="1134"/>
        <w:jc w:val="both"/>
        <w:rPr>
          <w:bCs/>
          <w:i/>
        </w:rPr>
      </w:pPr>
    </w:p>
    <w:p w:rsidR="0033778C" w:rsidRPr="00B703B0" w:rsidRDefault="0033778C" w:rsidP="0033778C">
      <w:pPr>
        <w:spacing w:after="0" w:line="240" w:lineRule="auto"/>
        <w:ind w:left="1701" w:hanging="567"/>
        <w:jc w:val="both"/>
      </w:pPr>
      <w:r w:rsidRPr="00B703B0">
        <w:t>„a)</w:t>
      </w:r>
      <w:r w:rsidRPr="00B703B0">
        <w:tab/>
        <w:t>telkenként kizárólag egy darab, egylakásos, legfeljebb 120 m</w:t>
      </w:r>
      <w:r w:rsidRPr="00B703B0">
        <w:rPr>
          <w:vertAlign w:val="superscript"/>
        </w:rPr>
        <w:t>2</w:t>
      </w:r>
      <w:r w:rsidRPr="00B703B0">
        <w:t xml:space="preserve"> bruttó alapterületű lakóépület helyezhető el, egyéb épület, a 34.§ (8) bekezdés szerinti személygépkocsi-tároló kivételével, nem létesíthető,”</w:t>
      </w:r>
    </w:p>
    <w:p w:rsidR="0033778C" w:rsidRPr="00885D6C" w:rsidRDefault="0033778C" w:rsidP="0033778C">
      <w:pPr>
        <w:widowControl w:val="0"/>
        <w:autoSpaceDE w:val="0"/>
        <w:autoSpaceDN w:val="0"/>
        <w:adjustRightInd w:val="0"/>
        <w:spacing w:after="0"/>
        <w:jc w:val="both"/>
        <w:rPr>
          <w:bCs/>
        </w:rPr>
      </w:pPr>
    </w:p>
    <w:p w:rsidR="0033778C" w:rsidRPr="003517E6" w:rsidRDefault="0033778C" w:rsidP="0033778C">
      <w:pPr>
        <w:pStyle w:val="Listaszerbekezds"/>
        <w:widowControl w:val="0"/>
        <w:numPr>
          <w:ilvl w:val="0"/>
          <w:numId w:val="9"/>
        </w:numPr>
        <w:autoSpaceDE w:val="0"/>
        <w:autoSpaceDN w:val="0"/>
        <w:adjustRightInd w:val="0"/>
        <w:ind w:left="567" w:hanging="567"/>
        <w:rPr>
          <w:bCs/>
          <w:szCs w:val="22"/>
        </w:rPr>
      </w:pPr>
      <w:r w:rsidRPr="003517E6">
        <w:rPr>
          <w:bCs/>
          <w:szCs w:val="22"/>
        </w:rPr>
        <w:t>A Rendelet 35.§ (12) bekezdése az alábbi e) és f) pontokkal egészül ki:</w:t>
      </w:r>
    </w:p>
    <w:p w:rsidR="0033778C" w:rsidRDefault="0033778C" w:rsidP="0033778C">
      <w:pPr>
        <w:widowControl w:val="0"/>
        <w:autoSpaceDE w:val="0"/>
        <w:autoSpaceDN w:val="0"/>
        <w:adjustRightInd w:val="0"/>
        <w:spacing w:after="0"/>
        <w:jc w:val="both"/>
        <w:rPr>
          <w:bCs/>
        </w:rPr>
      </w:pPr>
    </w:p>
    <w:p w:rsidR="0033778C" w:rsidRDefault="0033778C" w:rsidP="0033778C">
      <w:pPr>
        <w:widowControl w:val="0"/>
        <w:autoSpaceDE w:val="0"/>
        <w:autoSpaceDN w:val="0"/>
        <w:adjustRightInd w:val="0"/>
        <w:spacing w:after="0"/>
        <w:ind w:left="1134"/>
        <w:jc w:val="both"/>
        <w:rPr>
          <w:i/>
        </w:rPr>
      </w:pPr>
      <w:r w:rsidRPr="0016015F">
        <w:rPr>
          <w:i/>
        </w:rPr>
        <w:t xml:space="preserve">(Az </w:t>
      </w:r>
      <w:r w:rsidRPr="0016015F">
        <w:rPr>
          <w:b/>
          <w:bCs/>
          <w:i/>
        </w:rPr>
        <w:t>Lke-L(Ü)</w:t>
      </w:r>
      <w:r w:rsidRPr="0016015F">
        <w:rPr>
          <w:i/>
        </w:rPr>
        <w:t xml:space="preserve"> jelű építési övezetekben)</w:t>
      </w:r>
    </w:p>
    <w:p w:rsidR="0033778C" w:rsidRPr="0016015F" w:rsidRDefault="0033778C" w:rsidP="0033778C">
      <w:pPr>
        <w:widowControl w:val="0"/>
        <w:autoSpaceDE w:val="0"/>
        <w:autoSpaceDN w:val="0"/>
        <w:adjustRightInd w:val="0"/>
        <w:spacing w:after="0"/>
        <w:ind w:left="1134"/>
        <w:jc w:val="both"/>
        <w:rPr>
          <w:bCs/>
          <w:i/>
        </w:rPr>
      </w:pPr>
    </w:p>
    <w:p w:rsidR="0033778C" w:rsidRPr="003517E6" w:rsidRDefault="0033778C" w:rsidP="0033778C">
      <w:pPr>
        <w:spacing w:after="0" w:line="240" w:lineRule="auto"/>
        <w:ind w:left="1701" w:hanging="567"/>
        <w:jc w:val="both"/>
      </w:pPr>
      <w:r w:rsidRPr="003517E6">
        <w:t>„e)</w:t>
      </w:r>
      <w:r w:rsidRPr="003517E6">
        <w:tab/>
        <w:t>az előkertre vonatkozó előírások figyelmen kívül hagyhatók, amennyiben</w:t>
      </w:r>
    </w:p>
    <w:p w:rsidR="0033778C" w:rsidRPr="003517E6" w:rsidRDefault="0033778C" w:rsidP="0033778C">
      <w:pPr>
        <w:numPr>
          <w:ilvl w:val="0"/>
          <w:numId w:val="1"/>
        </w:numPr>
        <w:spacing w:after="0" w:line="240" w:lineRule="auto"/>
        <w:ind w:left="2268" w:hanging="567"/>
        <w:jc w:val="both"/>
      </w:pPr>
      <w:r w:rsidRPr="003517E6">
        <w:t>az ingatlan saroktelek,</w:t>
      </w:r>
    </w:p>
    <w:p w:rsidR="0033778C" w:rsidRPr="003517E6" w:rsidRDefault="0033778C" w:rsidP="0033778C">
      <w:pPr>
        <w:numPr>
          <w:ilvl w:val="0"/>
          <w:numId w:val="1"/>
        </w:numPr>
        <w:spacing w:after="0" w:line="240" w:lineRule="auto"/>
        <w:ind w:left="2268" w:hanging="567"/>
        <w:jc w:val="both"/>
      </w:pPr>
      <w:r w:rsidRPr="003517E6">
        <w:t>a telek beépítése kialakult,</w:t>
      </w:r>
    </w:p>
    <w:p w:rsidR="0033778C" w:rsidRPr="003517E6" w:rsidRDefault="0033778C" w:rsidP="0033778C">
      <w:pPr>
        <w:numPr>
          <w:ilvl w:val="0"/>
          <w:numId w:val="1"/>
        </w:numPr>
        <w:spacing w:after="0" w:line="240" w:lineRule="auto"/>
        <w:ind w:left="2268" w:hanging="567"/>
        <w:jc w:val="both"/>
      </w:pPr>
      <w:r w:rsidRPr="003517E6">
        <w:t>a domborzati adottságok indokolttá teszik (a telken belül legalább 2,0 m szintkülönbség van)</w:t>
      </w:r>
    </w:p>
    <w:p w:rsidR="0033778C" w:rsidRPr="003517E6" w:rsidRDefault="0033778C" w:rsidP="0033778C">
      <w:pPr>
        <w:numPr>
          <w:ilvl w:val="0"/>
          <w:numId w:val="1"/>
        </w:numPr>
        <w:spacing w:after="0" w:line="240" w:lineRule="auto"/>
        <w:ind w:left="2268" w:hanging="567"/>
        <w:jc w:val="both"/>
      </w:pPr>
      <w:r w:rsidRPr="003517E6">
        <w:t>és a telken olyan alapintézményi funkció működik, amely kertkapcsolatot, zöldfelületet igényel.</w:t>
      </w:r>
    </w:p>
    <w:p w:rsidR="0033778C" w:rsidRDefault="0033778C" w:rsidP="0033778C">
      <w:pPr>
        <w:spacing w:after="0" w:line="240" w:lineRule="auto"/>
        <w:ind w:left="1701" w:hanging="567"/>
        <w:jc w:val="both"/>
      </w:pPr>
      <w:r w:rsidRPr="003517E6">
        <w:t>f)</w:t>
      </w:r>
      <w:r w:rsidRPr="003517E6">
        <w:tab/>
        <w:t>amennyiben a telek szélessége legalább 16,0 m és az utcára merőleges tetőgerincű épület közterületre néző homlokzata oromfalas kialakítású az épület-magasság megengedett legnagyobb mértéke 4,0 m.”</w:t>
      </w:r>
    </w:p>
    <w:p w:rsidR="0033778C" w:rsidRPr="003517E6" w:rsidRDefault="0033778C" w:rsidP="0033778C">
      <w:pPr>
        <w:spacing w:after="0" w:line="240" w:lineRule="auto"/>
        <w:ind w:left="1701" w:hanging="567"/>
        <w:jc w:val="both"/>
      </w:pPr>
    </w:p>
    <w:p w:rsidR="0033778C" w:rsidRPr="003517E6" w:rsidRDefault="0033778C" w:rsidP="0033778C">
      <w:pPr>
        <w:pStyle w:val="Listaszerbekezds"/>
        <w:numPr>
          <w:ilvl w:val="3"/>
          <w:numId w:val="7"/>
        </w:numPr>
        <w:tabs>
          <w:tab w:val="left" w:pos="284"/>
        </w:tabs>
        <w:ind w:left="0" w:firstLine="0"/>
        <w:jc w:val="center"/>
        <w:rPr>
          <w:b/>
          <w:szCs w:val="22"/>
        </w:rPr>
      </w:pPr>
      <w:r w:rsidRPr="003517E6">
        <w:rPr>
          <w:b/>
          <w:szCs w:val="22"/>
        </w:rPr>
        <w:t>§</w:t>
      </w:r>
    </w:p>
    <w:p w:rsidR="0033778C" w:rsidRPr="003517E6" w:rsidRDefault="0033778C" w:rsidP="0033778C">
      <w:pPr>
        <w:widowControl w:val="0"/>
        <w:autoSpaceDE w:val="0"/>
        <w:autoSpaceDN w:val="0"/>
        <w:adjustRightInd w:val="0"/>
        <w:spacing w:after="0"/>
        <w:rPr>
          <w:bCs/>
        </w:rPr>
      </w:pPr>
    </w:p>
    <w:p w:rsidR="0033778C" w:rsidRPr="003517E6" w:rsidRDefault="0033778C" w:rsidP="0033778C">
      <w:pPr>
        <w:pStyle w:val="Listaszerbekezds"/>
        <w:widowControl w:val="0"/>
        <w:numPr>
          <w:ilvl w:val="0"/>
          <w:numId w:val="10"/>
        </w:numPr>
        <w:autoSpaceDE w:val="0"/>
        <w:autoSpaceDN w:val="0"/>
        <w:adjustRightInd w:val="0"/>
        <w:ind w:left="567" w:hanging="567"/>
        <w:rPr>
          <w:bCs/>
          <w:szCs w:val="22"/>
        </w:rPr>
      </w:pPr>
      <w:r w:rsidRPr="003517E6">
        <w:rPr>
          <w:bCs/>
          <w:szCs w:val="22"/>
        </w:rPr>
        <w:t xml:space="preserve">A Rendelet 36. § (9) bekezdése </w:t>
      </w:r>
      <w:r w:rsidRPr="003517E6">
        <w:rPr>
          <w:bCs/>
          <w:iCs/>
          <w:szCs w:val="22"/>
        </w:rPr>
        <w:t>helyébe a következő rendelkezés lép</w:t>
      </w:r>
      <w:r w:rsidRPr="003517E6">
        <w:rPr>
          <w:bCs/>
          <w:szCs w:val="22"/>
        </w:rPr>
        <w:t>:</w:t>
      </w:r>
    </w:p>
    <w:p w:rsidR="0033778C" w:rsidRPr="003517E6" w:rsidRDefault="0033778C" w:rsidP="0033778C">
      <w:pPr>
        <w:widowControl w:val="0"/>
        <w:autoSpaceDE w:val="0"/>
        <w:autoSpaceDN w:val="0"/>
        <w:adjustRightInd w:val="0"/>
        <w:spacing w:after="0"/>
        <w:rPr>
          <w:bCs/>
        </w:rPr>
      </w:pPr>
    </w:p>
    <w:p w:rsidR="0033778C" w:rsidRPr="003517E6" w:rsidRDefault="0033778C" w:rsidP="0033778C">
      <w:pPr>
        <w:spacing w:after="0" w:line="240" w:lineRule="auto"/>
        <w:ind w:left="1134" w:hanging="567"/>
      </w:pPr>
      <w:r w:rsidRPr="003517E6">
        <w:t>„(9)</w:t>
      </w:r>
      <w:r w:rsidRPr="003517E6">
        <w:tab/>
        <w:t>A falusias lakóterületek építési övezeteit, azok telekalakításra és beépítésre vonatkozó paramétereit a 2. táblázat tartalmazza:</w:t>
      </w:r>
    </w:p>
    <w:p w:rsidR="0033778C" w:rsidRPr="003517E6" w:rsidRDefault="0033778C" w:rsidP="0033778C">
      <w:pPr>
        <w:spacing w:after="0"/>
        <w:ind w:left="113"/>
        <w:jc w:val="right"/>
        <w:rPr>
          <w:i/>
        </w:rPr>
      </w:pPr>
      <w:r w:rsidRPr="003517E6">
        <w:rPr>
          <w:i/>
        </w:rPr>
        <w:t>2. táblázat</w:t>
      </w:r>
      <w:r>
        <w:rPr>
          <w: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6"/>
        <w:gridCol w:w="1020"/>
        <w:gridCol w:w="850"/>
        <w:gridCol w:w="19"/>
        <w:gridCol w:w="1116"/>
        <w:gridCol w:w="1162"/>
        <w:gridCol w:w="31"/>
        <w:gridCol w:w="1131"/>
        <w:gridCol w:w="23"/>
        <w:gridCol w:w="1139"/>
        <w:gridCol w:w="16"/>
        <w:gridCol w:w="1146"/>
        <w:gridCol w:w="8"/>
        <w:gridCol w:w="1155"/>
      </w:tblGrid>
      <w:tr w:rsidR="0033778C" w:rsidRPr="003517E6" w:rsidTr="008F30BE">
        <w:tc>
          <w:tcPr>
            <w:tcW w:w="256" w:type="dxa"/>
            <w:shd w:val="clear" w:color="auto" w:fill="D9D9D9"/>
          </w:tcPr>
          <w:p w:rsidR="0033778C" w:rsidRPr="003517E6" w:rsidRDefault="0033778C" w:rsidP="0033778C">
            <w:pPr>
              <w:spacing w:after="0"/>
              <w:ind w:left="-108" w:right="-154"/>
              <w:jc w:val="right"/>
              <w:rPr>
                <w:i/>
                <w:sz w:val="16"/>
                <w:szCs w:val="16"/>
              </w:rPr>
            </w:pPr>
          </w:p>
        </w:tc>
        <w:tc>
          <w:tcPr>
            <w:tcW w:w="1020" w:type="dxa"/>
            <w:shd w:val="clear" w:color="auto" w:fill="D9D9D9"/>
          </w:tcPr>
          <w:p w:rsidR="0033778C" w:rsidRPr="003517E6" w:rsidRDefault="0033778C" w:rsidP="0033778C">
            <w:pPr>
              <w:spacing w:after="0"/>
              <w:ind w:left="33" w:right="-154"/>
              <w:jc w:val="center"/>
              <w:rPr>
                <w:i/>
                <w:sz w:val="16"/>
                <w:szCs w:val="16"/>
              </w:rPr>
            </w:pPr>
            <w:r w:rsidRPr="003517E6">
              <w:rPr>
                <w:i/>
                <w:sz w:val="16"/>
                <w:szCs w:val="16"/>
              </w:rPr>
              <w:t>A</w:t>
            </w:r>
          </w:p>
        </w:tc>
        <w:tc>
          <w:tcPr>
            <w:tcW w:w="850" w:type="dxa"/>
            <w:shd w:val="clear" w:color="auto" w:fill="D9D9D9"/>
          </w:tcPr>
          <w:p w:rsidR="0033778C" w:rsidRPr="003517E6" w:rsidRDefault="0033778C" w:rsidP="0033778C">
            <w:pPr>
              <w:spacing w:after="0"/>
              <w:jc w:val="center"/>
              <w:rPr>
                <w:i/>
                <w:sz w:val="16"/>
                <w:szCs w:val="16"/>
              </w:rPr>
            </w:pPr>
            <w:r w:rsidRPr="003517E6">
              <w:rPr>
                <w:i/>
                <w:sz w:val="16"/>
                <w:szCs w:val="16"/>
              </w:rPr>
              <w:t>B</w:t>
            </w:r>
          </w:p>
        </w:tc>
        <w:tc>
          <w:tcPr>
            <w:tcW w:w="1135" w:type="dxa"/>
            <w:gridSpan w:val="2"/>
            <w:shd w:val="clear" w:color="auto" w:fill="D9D9D9"/>
          </w:tcPr>
          <w:p w:rsidR="0033778C" w:rsidRPr="003517E6" w:rsidRDefault="0033778C" w:rsidP="0033778C">
            <w:pPr>
              <w:spacing w:after="0"/>
              <w:jc w:val="center"/>
              <w:rPr>
                <w:i/>
                <w:sz w:val="16"/>
                <w:szCs w:val="16"/>
              </w:rPr>
            </w:pPr>
            <w:r w:rsidRPr="003517E6">
              <w:rPr>
                <w:i/>
                <w:sz w:val="16"/>
                <w:szCs w:val="16"/>
              </w:rPr>
              <w:t>C</w:t>
            </w:r>
          </w:p>
        </w:tc>
        <w:tc>
          <w:tcPr>
            <w:tcW w:w="1162" w:type="dxa"/>
            <w:shd w:val="clear" w:color="auto" w:fill="D9D9D9"/>
          </w:tcPr>
          <w:p w:rsidR="0033778C" w:rsidRPr="003517E6" w:rsidRDefault="0033778C" w:rsidP="0033778C">
            <w:pPr>
              <w:spacing w:after="0"/>
              <w:jc w:val="center"/>
              <w:rPr>
                <w:i/>
                <w:sz w:val="16"/>
                <w:szCs w:val="16"/>
              </w:rPr>
            </w:pPr>
            <w:r w:rsidRPr="003517E6">
              <w:rPr>
                <w:i/>
                <w:sz w:val="16"/>
                <w:szCs w:val="16"/>
              </w:rPr>
              <w:t>D</w:t>
            </w:r>
          </w:p>
        </w:tc>
        <w:tc>
          <w:tcPr>
            <w:tcW w:w="1162" w:type="dxa"/>
            <w:gridSpan w:val="2"/>
            <w:shd w:val="clear" w:color="auto" w:fill="D9D9D9"/>
          </w:tcPr>
          <w:p w:rsidR="0033778C" w:rsidRPr="003517E6" w:rsidRDefault="0033778C" w:rsidP="0033778C">
            <w:pPr>
              <w:spacing w:after="0"/>
              <w:jc w:val="center"/>
              <w:rPr>
                <w:i/>
                <w:sz w:val="16"/>
                <w:szCs w:val="16"/>
              </w:rPr>
            </w:pPr>
            <w:r w:rsidRPr="003517E6">
              <w:rPr>
                <w:i/>
                <w:sz w:val="16"/>
                <w:szCs w:val="16"/>
              </w:rPr>
              <w:t>E</w:t>
            </w:r>
          </w:p>
        </w:tc>
        <w:tc>
          <w:tcPr>
            <w:tcW w:w="1162" w:type="dxa"/>
            <w:gridSpan w:val="2"/>
            <w:shd w:val="clear" w:color="auto" w:fill="D9D9D9"/>
          </w:tcPr>
          <w:p w:rsidR="0033778C" w:rsidRPr="003517E6" w:rsidRDefault="0033778C" w:rsidP="0033778C">
            <w:pPr>
              <w:spacing w:after="0"/>
              <w:jc w:val="center"/>
              <w:rPr>
                <w:i/>
                <w:sz w:val="16"/>
                <w:szCs w:val="16"/>
              </w:rPr>
            </w:pPr>
            <w:r w:rsidRPr="003517E6">
              <w:rPr>
                <w:i/>
                <w:sz w:val="16"/>
                <w:szCs w:val="16"/>
              </w:rPr>
              <w:t>F</w:t>
            </w:r>
          </w:p>
        </w:tc>
        <w:tc>
          <w:tcPr>
            <w:tcW w:w="1162" w:type="dxa"/>
            <w:gridSpan w:val="2"/>
            <w:shd w:val="clear" w:color="auto" w:fill="D9D9D9"/>
          </w:tcPr>
          <w:p w:rsidR="0033778C" w:rsidRPr="003517E6" w:rsidRDefault="0033778C" w:rsidP="0033778C">
            <w:pPr>
              <w:spacing w:after="0"/>
              <w:jc w:val="center"/>
              <w:rPr>
                <w:i/>
                <w:sz w:val="16"/>
                <w:szCs w:val="16"/>
              </w:rPr>
            </w:pPr>
            <w:r w:rsidRPr="003517E6">
              <w:rPr>
                <w:i/>
                <w:sz w:val="16"/>
                <w:szCs w:val="16"/>
              </w:rPr>
              <w:t>G</w:t>
            </w:r>
          </w:p>
        </w:tc>
        <w:tc>
          <w:tcPr>
            <w:tcW w:w="1163" w:type="dxa"/>
            <w:gridSpan w:val="2"/>
            <w:shd w:val="clear" w:color="auto" w:fill="D9D9D9"/>
          </w:tcPr>
          <w:p w:rsidR="0033778C" w:rsidRPr="003517E6" w:rsidRDefault="0033778C" w:rsidP="0033778C">
            <w:pPr>
              <w:spacing w:after="0"/>
              <w:jc w:val="center"/>
              <w:rPr>
                <w:i/>
                <w:sz w:val="16"/>
                <w:szCs w:val="16"/>
              </w:rPr>
            </w:pPr>
            <w:r w:rsidRPr="003517E6">
              <w:rPr>
                <w:i/>
                <w:sz w:val="16"/>
                <w:szCs w:val="16"/>
              </w:rPr>
              <w:t>H</w:t>
            </w:r>
          </w:p>
        </w:tc>
      </w:tr>
      <w:tr w:rsidR="0033778C" w:rsidRPr="003517E6" w:rsidTr="008F30BE">
        <w:tc>
          <w:tcPr>
            <w:tcW w:w="256" w:type="dxa"/>
            <w:shd w:val="clear" w:color="auto" w:fill="D9D9D9"/>
          </w:tcPr>
          <w:p w:rsidR="0033778C" w:rsidRPr="003517E6" w:rsidRDefault="0033778C" w:rsidP="0033778C">
            <w:pPr>
              <w:spacing w:after="0"/>
              <w:ind w:left="-108"/>
              <w:jc w:val="right"/>
              <w:rPr>
                <w:i/>
                <w:sz w:val="16"/>
                <w:szCs w:val="16"/>
              </w:rPr>
            </w:pPr>
            <w:r w:rsidRPr="003517E6">
              <w:rPr>
                <w:i/>
                <w:sz w:val="16"/>
                <w:szCs w:val="16"/>
              </w:rPr>
              <w:t>1</w:t>
            </w:r>
          </w:p>
        </w:tc>
        <w:tc>
          <w:tcPr>
            <w:tcW w:w="1020" w:type="dxa"/>
            <w:vMerge w:val="restart"/>
            <w:shd w:val="clear" w:color="auto" w:fill="D9D9D9"/>
          </w:tcPr>
          <w:p w:rsidR="0033778C" w:rsidRPr="003517E6" w:rsidRDefault="0033778C" w:rsidP="0033778C">
            <w:pPr>
              <w:spacing w:after="0"/>
              <w:jc w:val="center"/>
              <w:rPr>
                <w:b/>
                <w:sz w:val="16"/>
                <w:szCs w:val="16"/>
              </w:rPr>
            </w:pPr>
          </w:p>
          <w:p w:rsidR="0033778C" w:rsidRPr="003517E6" w:rsidRDefault="0033778C" w:rsidP="0033778C">
            <w:pPr>
              <w:spacing w:after="0"/>
              <w:jc w:val="center"/>
              <w:rPr>
                <w:b/>
                <w:sz w:val="16"/>
                <w:szCs w:val="16"/>
              </w:rPr>
            </w:pPr>
          </w:p>
          <w:p w:rsidR="0033778C" w:rsidRPr="003517E6" w:rsidRDefault="0033778C" w:rsidP="0033778C">
            <w:pPr>
              <w:spacing w:after="0"/>
              <w:jc w:val="center"/>
              <w:rPr>
                <w:b/>
                <w:sz w:val="16"/>
                <w:szCs w:val="16"/>
              </w:rPr>
            </w:pPr>
            <w:r w:rsidRPr="003517E6">
              <w:rPr>
                <w:b/>
                <w:sz w:val="16"/>
                <w:szCs w:val="16"/>
              </w:rPr>
              <w:t>Építési övezet</w:t>
            </w:r>
          </w:p>
          <w:p w:rsidR="0033778C" w:rsidRPr="003517E6" w:rsidRDefault="0033778C" w:rsidP="0033778C">
            <w:pPr>
              <w:spacing w:after="0"/>
              <w:jc w:val="center"/>
              <w:rPr>
                <w:b/>
                <w:sz w:val="16"/>
                <w:szCs w:val="16"/>
              </w:rPr>
            </w:pPr>
            <w:r w:rsidRPr="003517E6">
              <w:rPr>
                <w:b/>
                <w:sz w:val="16"/>
                <w:szCs w:val="16"/>
              </w:rPr>
              <w:t>jele</w:t>
            </w:r>
          </w:p>
        </w:tc>
        <w:tc>
          <w:tcPr>
            <w:tcW w:w="1985" w:type="dxa"/>
            <w:gridSpan w:val="3"/>
            <w:shd w:val="clear" w:color="auto" w:fill="D9D9D9"/>
          </w:tcPr>
          <w:p w:rsidR="0033778C" w:rsidRPr="003517E6" w:rsidRDefault="0033778C" w:rsidP="0033778C">
            <w:pPr>
              <w:spacing w:after="0"/>
              <w:jc w:val="center"/>
              <w:rPr>
                <w:b/>
                <w:sz w:val="16"/>
                <w:szCs w:val="16"/>
              </w:rPr>
            </w:pPr>
            <w:r w:rsidRPr="003517E6">
              <w:rPr>
                <w:b/>
                <w:sz w:val="16"/>
                <w:szCs w:val="16"/>
              </w:rPr>
              <w:t>A kialakítható telek</w:t>
            </w:r>
          </w:p>
        </w:tc>
        <w:tc>
          <w:tcPr>
            <w:tcW w:w="5811" w:type="dxa"/>
            <w:gridSpan w:val="9"/>
            <w:shd w:val="clear" w:color="auto" w:fill="D9D9D9"/>
          </w:tcPr>
          <w:p w:rsidR="0033778C" w:rsidRPr="003517E6" w:rsidRDefault="0033778C" w:rsidP="0033778C">
            <w:pPr>
              <w:spacing w:after="0"/>
              <w:jc w:val="center"/>
              <w:rPr>
                <w:b/>
                <w:sz w:val="16"/>
                <w:szCs w:val="16"/>
              </w:rPr>
            </w:pPr>
            <w:r w:rsidRPr="003517E6">
              <w:rPr>
                <w:b/>
                <w:sz w:val="16"/>
                <w:szCs w:val="16"/>
              </w:rPr>
              <w:t>Az építési övezetben</w:t>
            </w:r>
          </w:p>
        </w:tc>
      </w:tr>
      <w:tr w:rsidR="0033778C" w:rsidRPr="003517E6" w:rsidTr="008F30BE">
        <w:tc>
          <w:tcPr>
            <w:tcW w:w="256" w:type="dxa"/>
            <w:shd w:val="clear" w:color="auto" w:fill="D9D9D9"/>
          </w:tcPr>
          <w:p w:rsidR="0033778C" w:rsidRPr="003517E6" w:rsidRDefault="0033778C" w:rsidP="0033778C">
            <w:pPr>
              <w:spacing w:after="0"/>
              <w:ind w:left="-108"/>
              <w:jc w:val="right"/>
              <w:rPr>
                <w:i/>
                <w:sz w:val="16"/>
                <w:szCs w:val="16"/>
              </w:rPr>
            </w:pPr>
            <w:r w:rsidRPr="003517E6">
              <w:rPr>
                <w:i/>
                <w:sz w:val="16"/>
                <w:szCs w:val="16"/>
              </w:rPr>
              <w:t>2</w:t>
            </w:r>
          </w:p>
        </w:tc>
        <w:tc>
          <w:tcPr>
            <w:tcW w:w="1020" w:type="dxa"/>
            <w:vMerge/>
            <w:shd w:val="clear" w:color="auto" w:fill="D9D9D9"/>
          </w:tcPr>
          <w:p w:rsidR="0033778C" w:rsidRPr="003517E6" w:rsidRDefault="0033778C" w:rsidP="0033778C">
            <w:pPr>
              <w:spacing w:after="0"/>
              <w:jc w:val="center"/>
              <w:rPr>
                <w:b/>
                <w:sz w:val="16"/>
                <w:szCs w:val="16"/>
              </w:rPr>
            </w:pPr>
          </w:p>
        </w:tc>
        <w:tc>
          <w:tcPr>
            <w:tcW w:w="869" w:type="dxa"/>
            <w:gridSpan w:val="2"/>
            <w:shd w:val="clear" w:color="auto" w:fill="D9D9D9"/>
          </w:tcPr>
          <w:p w:rsidR="0033778C" w:rsidRPr="003517E6" w:rsidRDefault="0033778C" w:rsidP="0033778C">
            <w:pPr>
              <w:spacing w:after="0"/>
              <w:jc w:val="center"/>
              <w:rPr>
                <w:b/>
                <w:sz w:val="16"/>
                <w:szCs w:val="16"/>
              </w:rPr>
            </w:pPr>
            <w:r w:rsidRPr="003517E6">
              <w:rPr>
                <w:b/>
                <w:sz w:val="16"/>
                <w:szCs w:val="16"/>
              </w:rPr>
              <w:t>legkisebb területe</w:t>
            </w:r>
          </w:p>
        </w:tc>
        <w:tc>
          <w:tcPr>
            <w:tcW w:w="1116" w:type="dxa"/>
            <w:shd w:val="clear" w:color="auto" w:fill="D9D9D9"/>
          </w:tcPr>
          <w:p w:rsidR="0033778C" w:rsidRPr="003517E6" w:rsidRDefault="0033778C" w:rsidP="0033778C">
            <w:pPr>
              <w:spacing w:after="0"/>
              <w:jc w:val="center"/>
              <w:rPr>
                <w:b/>
                <w:sz w:val="16"/>
                <w:szCs w:val="16"/>
              </w:rPr>
            </w:pPr>
            <w:r w:rsidRPr="003517E6">
              <w:rPr>
                <w:b/>
                <w:sz w:val="16"/>
                <w:szCs w:val="16"/>
              </w:rPr>
              <w:t>kialakítható legkisebb-legnagyobb telek-szélessége</w:t>
            </w:r>
          </w:p>
        </w:tc>
        <w:tc>
          <w:tcPr>
            <w:tcW w:w="1193" w:type="dxa"/>
            <w:gridSpan w:val="2"/>
            <w:shd w:val="clear" w:color="auto" w:fill="D9D9D9"/>
          </w:tcPr>
          <w:p w:rsidR="0033778C" w:rsidRPr="003517E6" w:rsidRDefault="0033778C" w:rsidP="0033778C">
            <w:pPr>
              <w:spacing w:after="0"/>
              <w:jc w:val="center"/>
              <w:rPr>
                <w:b/>
                <w:sz w:val="16"/>
                <w:szCs w:val="16"/>
              </w:rPr>
            </w:pPr>
            <w:r w:rsidRPr="003517E6">
              <w:rPr>
                <w:b/>
                <w:sz w:val="16"/>
                <w:szCs w:val="16"/>
              </w:rPr>
              <w:t>a beépítési mód</w:t>
            </w:r>
          </w:p>
        </w:tc>
        <w:tc>
          <w:tcPr>
            <w:tcW w:w="1154" w:type="dxa"/>
            <w:gridSpan w:val="2"/>
            <w:shd w:val="clear" w:color="auto" w:fill="D9D9D9"/>
          </w:tcPr>
          <w:p w:rsidR="0033778C" w:rsidRPr="003517E6" w:rsidRDefault="0033778C" w:rsidP="0033778C">
            <w:pPr>
              <w:spacing w:after="0"/>
              <w:jc w:val="center"/>
              <w:rPr>
                <w:b/>
                <w:sz w:val="16"/>
                <w:szCs w:val="16"/>
              </w:rPr>
            </w:pPr>
            <w:r w:rsidRPr="003517E6">
              <w:rPr>
                <w:b/>
                <w:sz w:val="16"/>
                <w:szCs w:val="16"/>
              </w:rPr>
              <w:t>a beépítettség megengedett legnagyobb mértéke</w:t>
            </w:r>
          </w:p>
        </w:tc>
        <w:tc>
          <w:tcPr>
            <w:tcW w:w="1155" w:type="dxa"/>
            <w:gridSpan w:val="2"/>
            <w:shd w:val="clear" w:color="auto" w:fill="D9D9D9"/>
          </w:tcPr>
          <w:p w:rsidR="0033778C" w:rsidRPr="003517E6" w:rsidRDefault="0033778C" w:rsidP="0033778C">
            <w:pPr>
              <w:spacing w:after="0"/>
              <w:jc w:val="center"/>
              <w:rPr>
                <w:b/>
                <w:sz w:val="16"/>
                <w:szCs w:val="16"/>
              </w:rPr>
            </w:pPr>
            <w:r w:rsidRPr="003517E6">
              <w:rPr>
                <w:b/>
                <w:sz w:val="16"/>
                <w:szCs w:val="16"/>
              </w:rPr>
              <w:t>az épület-magasság</w:t>
            </w:r>
          </w:p>
          <w:p w:rsidR="0033778C" w:rsidRPr="003517E6" w:rsidRDefault="0033778C" w:rsidP="0033778C">
            <w:pPr>
              <w:spacing w:after="0"/>
              <w:jc w:val="center"/>
              <w:rPr>
                <w:b/>
                <w:sz w:val="16"/>
                <w:szCs w:val="16"/>
              </w:rPr>
            </w:pPr>
            <w:r w:rsidRPr="003517E6">
              <w:rPr>
                <w:b/>
                <w:sz w:val="16"/>
                <w:szCs w:val="16"/>
              </w:rPr>
              <w:t>megengedett legnagyobb mértéke</w:t>
            </w:r>
          </w:p>
        </w:tc>
        <w:tc>
          <w:tcPr>
            <w:tcW w:w="1154" w:type="dxa"/>
            <w:gridSpan w:val="2"/>
            <w:shd w:val="clear" w:color="auto" w:fill="D9D9D9"/>
          </w:tcPr>
          <w:p w:rsidR="0033778C" w:rsidRPr="003517E6" w:rsidRDefault="0033778C" w:rsidP="0033778C">
            <w:pPr>
              <w:spacing w:after="0"/>
              <w:jc w:val="center"/>
              <w:rPr>
                <w:b/>
                <w:sz w:val="16"/>
                <w:szCs w:val="16"/>
              </w:rPr>
            </w:pPr>
            <w:r w:rsidRPr="003517E6">
              <w:rPr>
                <w:b/>
                <w:sz w:val="16"/>
                <w:szCs w:val="16"/>
              </w:rPr>
              <w:t>a zöldfelület legkisebb mértéke</w:t>
            </w:r>
          </w:p>
        </w:tc>
        <w:tc>
          <w:tcPr>
            <w:tcW w:w="1155" w:type="dxa"/>
            <w:shd w:val="clear" w:color="auto" w:fill="D9D9D9"/>
          </w:tcPr>
          <w:p w:rsidR="0033778C" w:rsidRPr="003517E6" w:rsidRDefault="0033778C" w:rsidP="0033778C">
            <w:pPr>
              <w:spacing w:after="0"/>
              <w:jc w:val="center"/>
              <w:rPr>
                <w:b/>
                <w:bCs/>
                <w:sz w:val="16"/>
                <w:szCs w:val="16"/>
              </w:rPr>
            </w:pPr>
            <w:r w:rsidRPr="003517E6">
              <w:rPr>
                <w:b/>
                <w:bCs/>
                <w:sz w:val="16"/>
                <w:szCs w:val="16"/>
              </w:rPr>
              <w:t>legnagyobb</w:t>
            </w:r>
          </w:p>
          <w:p w:rsidR="0033778C" w:rsidRPr="003517E6" w:rsidRDefault="0033778C" w:rsidP="0033778C">
            <w:pPr>
              <w:spacing w:after="0"/>
              <w:jc w:val="center"/>
              <w:rPr>
                <w:b/>
                <w:bCs/>
                <w:sz w:val="16"/>
                <w:szCs w:val="16"/>
              </w:rPr>
            </w:pPr>
            <w:r w:rsidRPr="003517E6">
              <w:rPr>
                <w:b/>
                <w:bCs/>
                <w:sz w:val="16"/>
                <w:szCs w:val="16"/>
              </w:rPr>
              <w:t>megengedett</w:t>
            </w:r>
          </w:p>
          <w:p w:rsidR="0033778C" w:rsidRPr="003517E6" w:rsidRDefault="0033778C" w:rsidP="0033778C">
            <w:pPr>
              <w:spacing w:after="0"/>
              <w:jc w:val="center"/>
              <w:rPr>
                <w:b/>
                <w:bCs/>
                <w:sz w:val="16"/>
                <w:szCs w:val="16"/>
              </w:rPr>
            </w:pPr>
            <w:r w:rsidRPr="003517E6">
              <w:rPr>
                <w:b/>
                <w:bCs/>
                <w:sz w:val="16"/>
                <w:szCs w:val="16"/>
              </w:rPr>
              <w:t>terepszint</w:t>
            </w:r>
          </w:p>
          <w:p w:rsidR="0033778C" w:rsidRPr="003517E6" w:rsidRDefault="0033778C" w:rsidP="0033778C">
            <w:pPr>
              <w:spacing w:after="0"/>
              <w:jc w:val="center"/>
              <w:rPr>
                <w:b/>
                <w:bCs/>
                <w:sz w:val="16"/>
                <w:szCs w:val="16"/>
              </w:rPr>
            </w:pPr>
            <w:r w:rsidRPr="003517E6">
              <w:rPr>
                <w:b/>
                <w:bCs/>
                <w:sz w:val="16"/>
                <w:szCs w:val="16"/>
              </w:rPr>
              <w:t>alatti</w:t>
            </w:r>
          </w:p>
          <w:p w:rsidR="0033778C" w:rsidRPr="003517E6" w:rsidRDefault="0033778C" w:rsidP="0033778C">
            <w:pPr>
              <w:spacing w:after="0"/>
              <w:jc w:val="center"/>
              <w:rPr>
                <w:b/>
                <w:sz w:val="16"/>
                <w:szCs w:val="16"/>
              </w:rPr>
            </w:pPr>
            <w:r w:rsidRPr="003517E6">
              <w:rPr>
                <w:b/>
                <w:bCs/>
                <w:sz w:val="16"/>
                <w:szCs w:val="16"/>
              </w:rPr>
              <w:t>beépítettség</w:t>
            </w:r>
          </w:p>
        </w:tc>
      </w:tr>
      <w:tr w:rsidR="0033778C" w:rsidRPr="003517E6" w:rsidTr="008F30BE">
        <w:tc>
          <w:tcPr>
            <w:tcW w:w="256" w:type="dxa"/>
            <w:shd w:val="clear" w:color="auto" w:fill="D9D9D9"/>
          </w:tcPr>
          <w:p w:rsidR="0033778C" w:rsidRPr="003517E6" w:rsidRDefault="0033778C" w:rsidP="0033778C">
            <w:pPr>
              <w:spacing w:after="0"/>
              <w:ind w:left="-108"/>
              <w:jc w:val="right"/>
              <w:rPr>
                <w:i/>
                <w:sz w:val="16"/>
                <w:szCs w:val="16"/>
              </w:rPr>
            </w:pPr>
            <w:r w:rsidRPr="003517E6">
              <w:rPr>
                <w:i/>
                <w:sz w:val="16"/>
                <w:szCs w:val="16"/>
              </w:rPr>
              <w:t>3</w:t>
            </w:r>
          </w:p>
        </w:tc>
        <w:tc>
          <w:tcPr>
            <w:tcW w:w="1020" w:type="dxa"/>
            <w:shd w:val="clear" w:color="auto" w:fill="D9D9D9"/>
          </w:tcPr>
          <w:p w:rsidR="0033778C" w:rsidRPr="003517E6" w:rsidRDefault="0033778C" w:rsidP="0033778C">
            <w:pPr>
              <w:spacing w:after="0"/>
              <w:jc w:val="center"/>
              <w:rPr>
                <w:sz w:val="16"/>
                <w:szCs w:val="16"/>
              </w:rPr>
            </w:pPr>
          </w:p>
        </w:tc>
        <w:tc>
          <w:tcPr>
            <w:tcW w:w="869" w:type="dxa"/>
            <w:gridSpan w:val="2"/>
            <w:shd w:val="clear" w:color="auto" w:fill="D9D9D9"/>
          </w:tcPr>
          <w:p w:rsidR="0033778C" w:rsidRPr="003517E6" w:rsidRDefault="0033778C" w:rsidP="0033778C">
            <w:pPr>
              <w:spacing w:after="0"/>
              <w:jc w:val="center"/>
              <w:rPr>
                <w:sz w:val="16"/>
                <w:szCs w:val="16"/>
              </w:rPr>
            </w:pPr>
            <w:r w:rsidRPr="003517E6">
              <w:rPr>
                <w:sz w:val="16"/>
                <w:szCs w:val="16"/>
              </w:rPr>
              <w:t>(m</w:t>
            </w:r>
            <w:r w:rsidRPr="003517E6">
              <w:rPr>
                <w:sz w:val="16"/>
                <w:szCs w:val="16"/>
                <w:vertAlign w:val="superscript"/>
              </w:rPr>
              <w:t>2</w:t>
            </w:r>
            <w:r w:rsidRPr="003517E6">
              <w:rPr>
                <w:sz w:val="16"/>
                <w:szCs w:val="16"/>
              </w:rPr>
              <w:t>)</w:t>
            </w:r>
          </w:p>
        </w:tc>
        <w:tc>
          <w:tcPr>
            <w:tcW w:w="1116" w:type="dxa"/>
            <w:shd w:val="clear" w:color="auto" w:fill="D9D9D9"/>
          </w:tcPr>
          <w:p w:rsidR="0033778C" w:rsidRPr="003517E6" w:rsidRDefault="0033778C" w:rsidP="0033778C">
            <w:pPr>
              <w:spacing w:after="0"/>
              <w:jc w:val="center"/>
              <w:rPr>
                <w:sz w:val="16"/>
                <w:szCs w:val="16"/>
              </w:rPr>
            </w:pPr>
            <w:r w:rsidRPr="003517E6">
              <w:rPr>
                <w:sz w:val="16"/>
                <w:szCs w:val="16"/>
              </w:rPr>
              <w:t>(m)</w:t>
            </w:r>
          </w:p>
        </w:tc>
        <w:tc>
          <w:tcPr>
            <w:tcW w:w="1193" w:type="dxa"/>
            <w:gridSpan w:val="2"/>
            <w:shd w:val="clear" w:color="auto" w:fill="D9D9D9"/>
          </w:tcPr>
          <w:p w:rsidR="0033778C" w:rsidRPr="003517E6" w:rsidRDefault="0033778C" w:rsidP="0033778C">
            <w:pPr>
              <w:spacing w:after="0"/>
              <w:jc w:val="center"/>
              <w:rPr>
                <w:sz w:val="16"/>
                <w:szCs w:val="16"/>
              </w:rPr>
            </w:pPr>
            <w:r w:rsidRPr="003517E6">
              <w:rPr>
                <w:sz w:val="16"/>
                <w:szCs w:val="16"/>
              </w:rPr>
              <w:t>rövidítés</w:t>
            </w:r>
          </w:p>
        </w:tc>
        <w:tc>
          <w:tcPr>
            <w:tcW w:w="1154" w:type="dxa"/>
            <w:gridSpan w:val="2"/>
            <w:shd w:val="clear" w:color="auto" w:fill="D9D9D9"/>
          </w:tcPr>
          <w:p w:rsidR="0033778C" w:rsidRPr="003517E6" w:rsidRDefault="0033778C" w:rsidP="0033778C">
            <w:pPr>
              <w:spacing w:after="0"/>
              <w:jc w:val="center"/>
              <w:rPr>
                <w:sz w:val="16"/>
                <w:szCs w:val="16"/>
              </w:rPr>
            </w:pPr>
            <w:r w:rsidRPr="003517E6">
              <w:rPr>
                <w:sz w:val="16"/>
                <w:szCs w:val="16"/>
              </w:rPr>
              <w:t>(%)</w:t>
            </w:r>
          </w:p>
        </w:tc>
        <w:tc>
          <w:tcPr>
            <w:tcW w:w="1155" w:type="dxa"/>
            <w:gridSpan w:val="2"/>
            <w:shd w:val="clear" w:color="auto" w:fill="D9D9D9"/>
          </w:tcPr>
          <w:p w:rsidR="0033778C" w:rsidRPr="003517E6" w:rsidRDefault="0033778C" w:rsidP="0033778C">
            <w:pPr>
              <w:spacing w:after="0"/>
              <w:jc w:val="center"/>
              <w:rPr>
                <w:sz w:val="16"/>
                <w:szCs w:val="16"/>
              </w:rPr>
            </w:pPr>
            <w:r w:rsidRPr="003517E6">
              <w:rPr>
                <w:sz w:val="16"/>
                <w:szCs w:val="16"/>
              </w:rPr>
              <w:t>(m)</w:t>
            </w:r>
          </w:p>
        </w:tc>
        <w:tc>
          <w:tcPr>
            <w:tcW w:w="1154" w:type="dxa"/>
            <w:gridSpan w:val="2"/>
            <w:shd w:val="clear" w:color="auto" w:fill="D9D9D9"/>
          </w:tcPr>
          <w:p w:rsidR="0033778C" w:rsidRPr="003517E6" w:rsidRDefault="0033778C" w:rsidP="0033778C">
            <w:pPr>
              <w:spacing w:after="0"/>
              <w:jc w:val="center"/>
              <w:rPr>
                <w:sz w:val="16"/>
                <w:szCs w:val="16"/>
              </w:rPr>
            </w:pPr>
            <w:r w:rsidRPr="003517E6">
              <w:rPr>
                <w:sz w:val="16"/>
                <w:szCs w:val="16"/>
              </w:rPr>
              <w:t>(%)</w:t>
            </w:r>
          </w:p>
        </w:tc>
        <w:tc>
          <w:tcPr>
            <w:tcW w:w="1155" w:type="dxa"/>
            <w:shd w:val="clear" w:color="auto" w:fill="D9D9D9"/>
          </w:tcPr>
          <w:p w:rsidR="0033778C" w:rsidRPr="003517E6" w:rsidRDefault="0033778C" w:rsidP="0033778C">
            <w:pPr>
              <w:spacing w:after="0"/>
              <w:jc w:val="center"/>
              <w:rPr>
                <w:sz w:val="16"/>
                <w:szCs w:val="16"/>
              </w:rPr>
            </w:pPr>
            <w:r w:rsidRPr="003517E6">
              <w:rPr>
                <w:sz w:val="16"/>
                <w:szCs w:val="16"/>
              </w:rPr>
              <w:t>(%)</w:t>
            </w:r>
          </w:p>
        </w:tc>
      </w:tr>
      <w:tr w:rsidR="0033778C" w:rsidRPr="003517E6" w:rsidTr="008F30BE">
        <w:tc>
          <w:tcPr>
            <w:tcW w:w="256" w:type="dxa"/>
            <w:shd w:val="clear" w:color="auto" w:fill="D9D9D9"/>
          </w:tcPr>
          <w:p w:rsidR="0033778C" w:rsidRPr="003517E6" w:rsidRDefault="0033778C" w:rsidP="0033778C">
            <w:pPr>
              <w:spacing w:after="0"/>
              <w:ind w:left="-108"/>
              <w:jc w:val="right"/>
              <w:rPr>
                <w:i/>
                <w:sz w:val="16"/>
                <w:szCs w:val="16"/>
              </w:rPr>
            </w:pPr>
            <w:r w:rsidRPr="003517E6">
              <w:rPr>
                <w:i/>
                <w:sz w:val="16"/>
                <w:szCs w:val="16"/>
              </w:rPr>
              <w:t>4</w:t>
            </w:r>
          </w:p>
        </w:tc>
        <w:tc>
          <w:tcPr>
            <w:tcW w:w="1020" w:type="dxa"/>
            <w:shd w:val="clear" w:color="auto" w:fill="auto"/>
            <w:vAlign w:val="center"/>
          </w:tcPr>
          <w:p w:rsidR="0033778C" w:rsidRPr="003517E6" w:rsidRDefault="0033778C" w:rsidP="0033778C">
            <w:pPr>
              <w:spacing w:after="0"/>
              <w:jc w:val="center"/>
              <w:rPr>
                <w:b/>
              </w:rPr>
            </w:pPr>
            <w:r w:rsidRPr="003517E6">
              <w:rPr>
                <w:b/>
              </w:rPr>
              <w:t>Lf-K1</w:t>
            </w:r>
          </w:p>
        </w:tc>
        <w:tc>
          <w:tcPr>
            <w:tcW w:w="869" w:type="dxa"/>
            <w:gridSpan w:val="2"/>
            <w:shd w:val="clear" w:color="auto" w:fill="auto"/>
            <w:vAlign w:val="center"/>
          </w:tcPr>
          <w:p w:rsidR="0033778C" w:rsidRPr="003517E6" w:rsidRDefault="0033778C" w:rsidP="0033778C">
            <w:pPr>
              <w:pStyle w:val="HESZtablazat2"/>
              <w:spacing w:before="0" w:after="0"/>
              <w:rPr>
                <w:szCs w:val="22"/>
              </w:rPr>
            </w:pPr>
            <w:r w:rsidRPr="003517E6">
              <w:rPr>
                <w:szCs w:val="22"/>
              </w:rPr>
              <w:t>900</w:t>
            </w:r>
          </w:p>
        </w:tc>
        <w:tc>
          <w:tcPr>
            <w:tcW w:w="1116" w:type="dxa"/>
            <w:shd w:val="clear" w:color="auto" w:fill="auto"/>
            <w:vAlign w:val="center"/>
          </w:tcPr>
          <w:p w:rsidR="0033778C" w:rsidRPr="003517E6" w:rsidRDefault="0033778C" w:rsidP="0033778C">
            <w:pPr>
              <w:spacing w:after="0"/>
              <w:jc w:val="center"/>
            </w:pPr>
            <w:r w:rsidRPr="003517E6">
              <w:t>14-18</w:t>
            </w:r>
          </w:p>
        </w:tc>
        <w:tc>
          <w:tcPr>
            <w:tcW w:w="1193" w:type="dxa"/>
            <w:gridSpan w:val="2"/>
            <w:shd w:val="clear" w:color="auto" w:fill="auto"/>
            <w:vAlign w:val="center"/>
          </w:tcPr>
          <w:p w:rsidR="0033778C" w:rsidRPr="003517E6" w:rsidRDefault="0033778C" w:rsidP="0033778C">
            <w:pPr>
              <w:pStyle w:val="HESZtablazat2"/>
              <w:spacing w:before="0" w:after="0"/>
              <w:rPr>
                <w:szCs w:val="22"/>
              </w:rPr>
            </w:pPr>
            <w:r w:rsidRPr="003517E6">
              <w:rPr>
                <w:szCs w:val="22"/>
              </w:rPr>
              <w:t>O</w:t>
            </w:r>
          </w:p>
        </w:tc>
        <w:tc>
          <w:tcPr>
            <w:tcW w:w="1154" w:type="dxa"/>
            <w:gridSpan w:val="2"/>
            <w:shd w:val="clear" w:color="auto" w:fill="auto"/>
            <w:vAlign w:val="center"/>
          </w:tcPr>
          <w:p w:rsidR="0033778C" w:rsidRPr="003517E6" w:rsidRDefault="0033778C" w:rsidP="0033778C">
            <w:pPr>
              <w:pStyle w:val="HESZtablazat2"/>
              <w:spacing w:before="0" w:after="0"/>
              <w:rPr>
                <w:szCs w:val="22"/>
              </w:rPr>
            </w:pPr>
            <w:r w:rsidRPr="003517E6">
              <w:rPr>
                <w:szCs w:val="22"/>
              </w:rPr>
              <w:t>30</w:t>
            </w:r>
          </w:p>
        </w:tc>
        <w:tc>
          <w:tcPr>
            <w:tcW w:w="1155" w:type="dxa"/>
            <w:gridSpan w:val="2"/>
            <w:shd w:val="clear" w:color="auto" w:fill="auto"/>
            <w:vAlign w:val="center"/>
          </w:tcPr>
          <w:p w:rsidR="0033778C" w:rsidRPr="003517E6" w:rsidRDefault="0033778C" w:rsidP="0033778C">
            <w:pPr>
              <w:pStyle w:val="HESZtablazat2"/>
              <w:spacing w:before="0" w:after="0"/>
              <w:rPr>
                <w:szCs w:val="22"/>
              </w:rPr>
            </w:pPr>
            <w:r w:rsidRPr="003517E6">
              <w:rPr>
                <w:szCs w:val="22"/>
              </w:rPr>
              <w:t>3,5</w:t>
            </w:r>
          </w:p>
        </w:tc>
        <w:tc>
          <w:tcPr>
            <w:tcW w:w="1154" w:type="dxa"/>
            <w:gridSpan w:val="2"/>
            <w:shd w:val="clear" w:color="auto" w:fill="auto"/>
            <w:vAlign w:val="center"/>
          </w:tcPr>
          <w:p w:rsidR="0033778C" w:rsidRPr="003517E6" w:rsidRDefault="0033778C" w:rsidP="0033778C">
            <w:pPr>
              <w:pStyle w:val="HESZtablazat2"/>
              <w:spacing w:before="0" w:after="0"/>
              <w:rPr>
                <w:szCs w:val="22"/>
              </w:rPr>
            </w:pPr>
            <w:r w:rsidRPr="003517E6">
              <w:rPr>
                <w:szCs w:val="22"/>
              </w:rPr>
              <w:t>60</w:t>
            </w:r>
          </w:p>
        </w:tc>
        <w:tc>
          <w:tcPr>
            <w:tcW w:w="1155" w:type="dxa"/>
            <w:shd w:val="clear" w:color="auto" w:fill="auto"/>
            <w:vAlign w:val="center"/>
          </w:tcPr>
          <w:p w:rsidR="0033778C" w:rsidRPr="003517E6" w:rsidRDefault="0033778C" w:rsidP="0033778C">
            <w:pPr>
              <w:spacing w:after="0"/>
              <w:jc w:val="center"/>
            </w:pPr>
          </w:p>
        </w:tc>
      </w:tr>
    </w:tbl>
    <w:p w:rsidR="0033778C" w:rsidRPr="003517E6" w:rsidRDefault="0033778C" w:rsidP="0033778C">
      <w:pPr>
        <w:widowControl w:val="0"/>
        <w:autoSpaceDE w:val="0"/>
        <w:autoSpaceDN w:val="0"/>
        <w:adjustRightInd w:val="0"/>
        <w:spacing w:after="0"/>
        <w:rPr>
          <w:bCs/>
        </w:rPr>
      </w:pPr>
    </w:p>
    <w:p w:rsidR="0033778C" w:rsidRPr="003517E6" w:rsidRDefault="0033778C" w:rsidP="0033778C">
      <w:pPr>
        <w:pStyle w:val="Listaszerbekezds"/>
        <w:widowControl w:val="0"/>
        <w:numPr>
          <w:ilvl w:val="0"/>
          <w:numId w:val="10"/>
        </w:numPr>
        <w:autoSpaceDE w:val="0"/>
        <w:autoSpaceDN w:val="0"/>
        <w:adjustRightInd w:val="0"/>
        <w:ind w:left="567" w:hanging="567"/>
        <w:rPr>
          <w:bCs/>
          <w:szCs w:val="22"/>
        </w:rPr>
      </w:pPr>
      <w:r w:rsidRPr="003517E6">
        <w:rPr>
          <w:bCs/>
          <w:szCs w:val="22"/>
        </w:rPr>
        <w:t xml:space="preserve">A Rendelet 36. §-a az alábbi (14) bekezdéssel egészül ki: </w:t>
      </w:r>
    </w:p>
    <w:p w:rsidR="0033778C" w:rsidRPr="003517E6" w:rsidRDefault="0033778C" w:rsidP="0033778C">
      <w:pPr>
        <w:pStyle w:val="Listaszerbekezds"/>
        <w:widowControl w:val="0"/>
        <w:autoSpaceDE w:val="0"/>
        <w:autoSpaceDN w:val="0"/>
        <w:adjustRightInd w:val="0"/>
        <w:ind w:left="567"/>
        <w:contextualSpacing w:val="0"/>
        <w:rPr>
          <w:bCs/>
          <w:szCs w:val="22"/>
        </w:rPr>
      </w:pPr>
    </w:p>
    <w:p w:rsidR="0033778C" w:rsidRPr="003517E6" w:rsidRDefault="0033778C" w:rsidP="0033778C">
      <w:pPr>
        <w:spacing w:after="0" w:line="240" w:lineRule="auto"/>
        <w:ind w:left="1134" w:hanging="567"/>
        <w:jc w:val="both"/>
      </w:pPr>
      <w:r w:rsidRPr="003517E6">
        <w:t>„(14)</w:t>
      </w:r>
      <w:r w:rsidRPr="003517E6">
        <w:tab/>
        <w:t>Az Lf-K1 jelű építési övezetekben a szabályozási terven jelölt „Védett utcakép kötelezően oromfalas beépítéssel” érintett ingatlanok oromfalas beépítése esetén az épület-magasság megengedett legnagyobb mértéke 4,0 m.”</w:t>
      </w:r>
    </w:p>
    <w:p w:rsidR="0033778C" w:rsidRPr="003517E6" w:rsidRDefault="0033778C" w:rsidP="0033778C">
      <w:pPr>
        <w:spacing w:after="0"/>
        <w:jc w:val="both"/>
      </w:pPr>
    </w:p>
    <w:p w:rsidR="0033778C" w:rsidRPr="003517E6" w:rsidRDefault="0033778C" w:rsidP="0033778C">
      <w:pPr>
        <w:pStyle w:val="Listaszerbekezds"/>
        <w:numPr>
          <w:ilvl w:val="3"/>
          <w:numId w:val="7"/>
        </w:numPr>
        <w:tabs>
          <w:tab w:val="left" w:pos="284"/>
        </w:tabs>
        <w:ind w:left="0" w:firstLine="0"/>
        <w:jc w:val="center"/>
        <w:rPr>
          <w:b/>
          <w:szCs w:val="22"/>
        </w:rPr>
      </w:pPr>
      <w:r w:rsidRPr="003517E6">
        <w:rPr>
          <w:b/>
          <w:szCs w:val="22"/>
        </w:rPr>
        <w:t>§</w:t>
      </w:r>
    </w:p>
    <w:p w:rsidR="0033778C" w:rsidRPr="003517E6" w:rsidRDefault="0033778C" w:rsidP="0033778C">
      <w:pPr>
        <w:spacing w:after="0"/>
        <w:jc w:val="both"/>
      </w:pPr>
    </w:p>
    <w:p w:rsidR="0033778C" w:rsidRPr="003517E6" w:rsidRDefault="0033778C" w:rsidP="0033778C">
      <w:pPr>
        <w:widowControl w:val="0"/>
        <w:autoSpaceDE w:val="0"/>
        <w:autoSpaceDN w:val="0"/>
        <w:adjustRightInd w:val="0"/>
        <w:spacing w:after="0"/>
        <w:jc w:val="both"/>
        <w:rPr>
          <w:bCs/>
        </w:rPr>
      </w:pPr>
      <w:r w:rsidRPr="003517E6">
        <w:rPr>
          <w:bCs/>
        </w:rPr>
        <w:t>A Rendelet 3</w:t>
      </w:r>
      <w:r w:rsidRPr="003517E6">
        <w:t>7.§ (1) bekezdése</w:t>
      </w:r>
      <w:r w:rsidRPr="003517E6">
        <w:rPr>
          <w:bCs/>
        </w:rPr>
        <w:t xml:space="preserve"> </w:t>
      </w:r>
      <w:r w:rsidRPr="003517E6">
        <w:rPr>
          <w:bCs/>
          <w:iCs/>
        </w:rPr>
        <w:t>helyébe a következő rendelkezés lép</w:t>
      </w:r>
      <w:r w:rsidRPr="003517E6">
        <w:rPr>
          <w:bCs/>
        </w:rPr>
        <w:t>:</w:t>
      </w:r>
    </w:p>
    <w:p w:rsidR="0033778C" w:rsidRPr="003517E6" w:rsidRDefault="0033778C" w:rsidP="0033778C">
      <w:pPr>
        <w:spacing w:after="0"/>
        <w:jc w:val="both"/>
      </w:pPr>
    </w:p>
    <w:p w:rsidR="0033778C" w:rsidRDefault="0033778C" w:rsidP="0033778C">
      <w:pPr>
        <w:spacing w:after="0" w:line="240" w:lineRule="auto"/>
        <w:ind w:left="1134" w:hanging="567"/>
        <w:jc w:val="both"/>
      </w:pPr>
      <w:r w:rsidRPr="003517E6">
        <w:t>„(1)</w:t>
      </w:r>
      <w:r w:rsidRPr="003517E6">
        <w:tab/>
        <w:t>A településközpont vegyes terület több önálló rendeltetési egységet magába foglaló, 7,5 m-es épületmagasságot meg nem haladó, lakó és olyan települési szint</w:t>
      </w:r>
      <w:r w:rsidRPr="003517E6">
        <w:rPr>
          <w:rFonts w:cs="Cambria"/>
        </w:rPr>
        <w:t>ű</w:t>
      </w:r>
      <w:r w:rsidRPr="003517E6">
        <w:t xml:space="preserve"> egyéb rendeltetést szolgáló épület elhelyezésére szolgál, amelyek nincsenek zavaró hatással a lakó rendeltetésre.”</w:t>
      </w:r>
    </w:p>
    <w:p w:rsidR="0033778C" w:rsidRPr="003517E6" w:rsidRDefault="0033778C" w:rsidP="0033778C">
      <w:pPr>
        <w:pStyle w:val="Listaszerbekezds"/>
        <w:numPr>
          <w:ilvl w:val="3"/>
          <w:numId w:val="7"/>
        </w:numPr>
        <w:tabs>
          <w:tab w:val="left" w:pos="284"/>
        </w:tabs>
        <w:ind w:left="0" w:firstLine="0"/>
        <w:jc w:val="center"/>
        <w:rPr>
          <w:b/>
          <w:szCs w:val="22"/>
        </w:rPr>
      </w:pPr>
      <w:r w:rsidRPr="003517E6">
        <w:rPr>
          <w:b/>
          <w:szCs w:val="22"/>
        </w:rPr>
        <w:t>§</w:t>
      </w:r>
    </w:p>
    <w:p w:rsidR="0033778C" w:rsidRPr="003517E6" w:rsidRDefault="0033778C" w:rsidP="0033778C">
      <w:pPr>
        <w:spacing w:after="0"/>
        <w:jc w:val="both"/>
      </w:pPr>
    </w:p>
    <w:p w:rsidR="0033778C" w:rsidRPr="003517E6" w:rsidRDefault="0033778C" w:rsidP="0033778C">
      <w:pPr>
        <w:pStyle w:val="Listaszerbekezds"/>
        <w:widowControl w:val="0"/>
        <w:numPr>
          <w:ilvl w:val="0"/>
          <w:numId w:val="11"/>
        </w:numPr>
        <w:autoSpaceDE w:val="0"/>
        <w:autoSpaceDN w:val="0"/>
        <w:adjustRightInd w:val="0"/>
        <w:ind w:left="567" w:hanging="567"/>
        <w:rPr>
          <w:bCs/>
          <w:szCs w:val="22"/>
        </w:rPr>
      </w:pPr>
      <w:r w:rsidRPr="003517E6">
        <w:rPr>
          <w:bCs/>
          <w:szCs w:val="22"/>
        </w:rPr>
        <w:t xml:space="preserve">A Rendelet 38. §-a az alábbi (1a) bekezdéssel egészül ki: </w:t>
      </w:r>
    </w:p>
    <w:p w:rsidR="0033778C" w:rsidRPr="003517E6" w:rsidRDefault="0033778C" w:rsidP="0033778C">
      <w:pPr>
        <w:spacing w:after="0"/>
        <w:jc w:val="both"/>
      </w:pPr>
    </w:p>
    <w:p w:rsidR="0033778C" w:rsidRPr="003517E6" w:rsidRDefault="0033778C" w:rsidP="0033778C">
      <w:pPr>
        <w:spacing w:after="0" w:line="240" w:lineRule="auto"/>
        <w:ind w:left="1134" w:hanging="567"/>
        <w:jc w:val="both"/>
      </w:pPr>
      <w:r w:rsidRPr="003517E6">
        <w:t>„(1a)</w:t>
      </w:r>
      <w:r w:rsidRPr="003517E6">
        <w:tab/>
        <w:t>A Vt-Fk, Vt-Fk (L) (1) és Vt-Fk (L) (2) jelű építési övezetekben a szabályozási terven jelölt „Védett utcakép kötelezően oromfalas beépítéssel” érintett ingatlanok oromfalas beépítése esetén az épület-magasság megengedett legnagyobb mértéke 4,5 m.”</w:t>
      </w:r>
    </w:p>
    <w:p w:rsidR="0033778C" w:rsidRPr="003517E6" w:rsidRDefault="0033778C" w:rsidP="0033778C">
      <w:pPr>
        <w:spacing w:after="0" w:line="240" w:lineRule="auto"/>
        <w:ind w:left="1134" w:hanging="567"/>
        <w:jc w:val="both"/>
      </w:pPr>
    </w:p>
    <w:p w:rsidR="0033778C" w:rsidRPr="003517E6" w:rsidRDefault="0033778C" w:rsidP="0033778C">
      <w:pPr>
        <w:pStyle w:val="Listaszerbekezds"/>
        <w:widowControl w:val="0"/>
        <w:numPr>
          <w:ilvl w:val="0"/>
          <w:numId w:val="11"/>
        </w:numPr>
        <w:autoSpaceDE w:val="0"/>
        <w:autoSpaceDN w:val="0"/>
        <w:adjustRightInd w:val="0"/>
        <w:ind w:left="567" w:hanging="567"/>
        <w:rPr>
          <w:bCs/>
          <w:szCs w:val="22"/>
        </w:rPr>
      </w:pPr>
      <w:r w:rsidRPr="003517E6">
        <w:rPr>
          <w:bCs/>
          <w:szCs w:val="22"/>
        </w:rPr>
        <w:t>A Rendelet 38.§ (6) bekezdésének c) pontja helyébe a következő rendelkezés lép:</w:t>
      </w:r>
    </w:p>
    <w:p w:rsidR="0033778C" w:rsidRDefault="0033778C" w:rsidP="0033778C">
      <w:pPr>
        <w:spacing w:after="0" w:line="240" w:lineRule="auto"/>
        <w:jc w:val="both"/>
        <w:rPr>
          <w:i/>
        </w:rPr>
      </w:pPr>
    </w:p>
    <w:p w:rsidR="0033778C" w:rsidRDefault="0033778C" w:rsidP="0033778C">
      <w:pPr>
        <w:spacing w:after="0" w:line="240" w:lineRule="auto"/>
        <w:ind w:left="1134"/>
        <w:jc w:val="both"/>
        <w:rPr>
          <w:i/>
        </w:rPr>
      </w:pPr>
      <w:r w:rsidRPr="0016015F">
        <w:rPr>
          <w:i/>
        </w:rPr>
        <w:t xml:space="preserve">(A </w:t>
      </w:r>
      <w:r w:rsidRPr="0016015F">
        <w:rPr>
          <w:b/>
          <w:bCs/>
          <w:i/>
        </w:rPr>
        <w:t>Vt-A2</w:t>
      </w:r>
      <w:r w:rsidRPr="0016015F">
        <w:rPr>
          <w:i/>
        </w:rPr>
        <w:t xml:space="preserve"> jelű építési övezetben)</w:t>
      </w:r>
    </w:p>
    <w:p w:rsidR="0033778C" w:rsidRPr="0016015F" w:rsidRDefault="0033778C" w:rsidP="0033778C">
      <w:pPr>
        <w:spacing w:after="0" w:line="240" w:lineRule="auto"/>
        <w:ind w:left="1134"/>
        <w:rPr>
          <w:i/>
        </w:rPr>
      </w:pPr>
    </w:p>
    <w:p w:rsidR="0033778C" w:rsidRDefault="0033778C" w:rsidP="0033778C">
      <w:pPr>
        <w:spacing w:after="0" w:line="240" w:lineRule="auto"/>
        <w:ind w:left="1701" w:hanging="567"/>
        <w:rPr>
          <w:rFonts w:cs="Times-Roman"/>
          <w:color w:val="FF0000"/>
        </w:rPr>
      </w:pPr>
      <w:r w:rsidRPr="003517E6">
        <w:rPr>
          <w:rFonts w:cs="Times-Roman"/>
        </w:rPr>
        <w:t>„c)</w:t>
      </w:r>
      <w:r w:rsidRPr="003517E6">
        <w:rPr>
          <w:rFonts w:cs="Times-Roman"/>
        </w:rPr>
        <w:tab/>
        <w:t>telkenként legfeljebb 24 lakás – és legfeljebb további 4 egyéb rendeltetési egység - helyezhető el,</w:t>
      </w:r>
      <w:r w:rsidRPr="003517E6">
        <w:t xml:space="preserve"> </w:t>
      </w:r>
      <w:r w:rsidRPr="003517E6">
        <w:rPr>
          <w:rFonts w:cs="Times-Roman"/>
        </w:rPr>
        <w:t xml:space="preserve">az épület Pipacs utcára néző földszintjén üzlethelyiség nem </w:t>
      </w:r>
      <w:r w:rsidRPr="0033778C">
        <w:rPr>
          <w:rFonts w:cs="Times-Roman"/>
          <w:color w:val="FF0000"/>
        </w:rPr>
        <w:t>létesíthető, a Pipacs utca felől megközelíthető gépjármű tároló nem létesíthető;”</w:t>
      </w:r>
    </w:p>
    <w:p w:rsidR="0033778C" w:rsidRPr="0033778C" w:rsidRDefault="0033778C" w:rsidP="002E6FCE">
      <w:pPr>
        <w:spacing w:after="0" w:line="240" w:lineRule="auto"/>
        <w:rPr>
          <w:color w:val="FF0000"/>
        </w:rPr>
      </w:pPr>
    </w:p>
    <w:p w:rsidR="0033778C" w:rsidRPr="00280859" w:rsidRDefault="0033778C" w:rsidP="0033778C">
      <w:pPr>
        <w:pStyle w:val="Listaszerbekezds"/>
        <w:widowControl w:val="0"/>
        <w:numPr>
          <w:ilvl w:val="0"/>
          <w:numId w:val="11"/>
        </w:numPr>
        <w:autoSpaceDE w:val="0"/>
        <w:autoSpaceDN w:val="0"/>
        <w:adjustRightInd w:val="0"/>
        <w:ind w:left="567" w:hanging="567"/>
        <w:rPr>
          <w:bCs/>
          <w:szCs w:val="22"/>
        </w:rPr>
      </w:pPr>
      <w:r w:rsidRPr="00280859">
        <w:rPr>
          <w:bCs/>
          <w:szCs w:val="22"/>
        </w:rPr>
        <w:t>A Rendelet 38.§ (6) bekezdése az alábbi k) ponttal egészül ki:</w:t>
      </w:r>
    </w:p>
    <w:p w:rsidR="0033778C" w:rsidRPr="00280859" w:rsidRDefault="0033778C" w:rsidP="0033778C">
      <w:pPr>
        <w:pStyle w:val="Listaszerbekezds"/>
        <w:widowControl w:val="0"/>
        <w:autoSpaceDE w:val="0"/>
        <w:autoSpaceDN w:val="0"/>
        <w:adjustRightInd w:val="0"/>
        <w:ind w:left="567"/>
        <w:rPr>
          <w:bCs/>
          <w:szCs w:val="22"/>
        </w:rPr>
      </w:pPr>
    </w:p>
    <w:p w:rsidR="0033778C" w:rsidRPr="00280859" w:rsidRDefault="0033778C" w:rsidP="002E6FCE">
      <w:pPr>
        <w:spacing w:after="0" w:line="240" w:lineRule="auto"/>
        <w:ind w:left="1701" w:hanging="567"/>
        <w:contextualSpacing/>
        <w:jc w:val="both"/>
        <w:rPr>
          <w:rFonts w:cs="Times-Roman"/>
        </w:rPr>
      </w:pPr>
      <w:r w:rsidRPr="00202BBF">
        <w:rPr>
          <w:rFonts w:cs="Times-Roman"/>
        </w:rPr>
        <w:t>„k)</w:t>
      </w:r>
      <w:r w:rsidRPr="00202BBF">
        <w:rPr>
          <w:rFonts w:cs="Times-Roman"/>
        </w:rPr>
        <w:tab/>
        <w:t>négynél több rendeltetési egység - összesen bruttó 500 m</w:t>
      </w:r>
      <w:r w:rsidRPr="00202BBF">
        <w:rPr>
          <w:rFonts w:cs="Times-Roman"/>
          <w:vertAlign w:val="superscript"/>
        </w:rPr>
        <w:t>2</w:t>
      </w:r>
      <w:r w:rsidRPr="00202BBF">
        <w:rPr>
          <w:rFonts w:cs="Times-Roman"/>
        </w:rPr>
        <w:t xml:space="preserve">–nél nagyobb szintterület - akkor létesíthető, ha a kiszolgáló útként kialakítandó 733/9 hrsz.-ú </w:t>
      </w:r>
      <w:r w:rsidRPr="00202BBF">
        <w:rPr>
          <w:rFonts w:cs="Times-Roman"/>
        </w:rPr>
        <w:lastRenderedPageBreak/>
        <w:t>földrészlet és a 1103 jelű országos mellékút tervezett útcsatlakozása rendelkezésre áll.”</w:t>
      </w:r>
    </w:p>
    <w:p w:rsidR="0033778C" w:rsidRDefault="0033778C" w:rsidP="002E6FCE">
      <w:pPr>
        <w:pStyle w:val="Listaszerbekezds"/>
        <w:widowControl w:val="0"/>
        <w:autoSpaceDE w:val="0"/>
        <w:autoSpaceDN w:val="0"/>
        <w:adjustRightInd w:val="0"/>
        <w:ind w:left="567"/>
        <w:rPr>
          <w:bCs/>
          <w:szCs w:val="22"/>
        </w:rPr>
      </w:pPr>
    </w:p>
    <w:p w:rsidR="0033778C" w:rsidRPr="003517E6" w:rsidRDefault="0033778C" w:rsidP="002E6FCE">
      <w:pPr>
        <w:pStyle w:val="Listaszerbekezds"/>
        <w:widowControl w:val="0"/>
        <w:numPr>
          <w:ilvl w:val="0"/>
          <w:numId w:val="11"/>
        </w:numPr>
        <w:autoSpaceDE w:val="0"/>
        <w:autoSpaceDN w:val="0"/>
        <w:adjustRightInd w:val="0"/>
        <w:ind w:left="567" w:hanging="567"/>
        <w:rPr>
          <w:bCs/>
          <w:szCs w:val="22"/>
        </w:rPr>
      </w:pPr>
      <w:r w:rsidRPr="003517E6">
        <w:rPr>
          <w:bCs/>
          <w:szCs w:val="22"/>
        </w:rPr>
        <w:t>A Rendelet 38.§ (</w:t>
      </w:r>
      <w:r>
        <w:rPr>
          <w:bCs/>
          <w:szCs w:val="22"/>
        </w:rPr>
        <w:t>8</w:t>
      </w:r>
      <w:r w:rsidRPr="003517E6">
        <w:rPr>
          <w:bCs/>
          <w:szCs w:val="22"/>
        </w:rPr>
        <w:t>) bekezdésének c) pontja helyébe a következő rendelkezés lép:</w:t>
      </w:r>
    </w:p>
    <w:p w:rsidR="0033778C" w:rsidRDefault="0033778C" w:rsidP="002E6FCE">
      <w:pPr>
        <w:spacing w:after="0" w:line="240" w:lineRule="auto"/>
        <w:ind w:left="1134" w:hanging="567"/>
        <w:jc w:val="both"/>
      </w:pPr>
    </w:p>
    <w:p w:rsidR="0033778C" w:rsidRPr="0016015F" w:rsidRDefault="0033778C" w:rsidP="002E6FCE">
      <w:pPr>
        <w:spacing w:after="0" w:line="240" w:lineRule="auto"/>
        <w:ind w:left="1701" w:hanging="567"/>
        <w:jc w:val="both"/>
        <w:rPr>
          <w:i/>
        </w:rPr>
      </w:pPr>
      <w:r w:rsidRPr="0016015F">
        <w:rPr>
          <w:i/>
        </w:rPr>
        <w:t xml:space="preserve">(A </w:t>
      </w:r>
      <w:r w:rsidRPr="0016015F">
        <w:rPr>
          <w:b/>
          <w:i/>
        </w:rPr>
        <w:t>Vt-A4</w:t>
      </w:r>
      <w:r w:rsidRPr="0016015F">
        <w:rPr>
          <w:i/>
        </w:rPr>
        <w:t xml:space="preserve"> jelű építési övezetben)</w:t>
      </w:r>
    </w:p>
    <w:p w:rsidR="0033778C" w:rsidRDefault="0033778C" w:rsidP="002E6FCE">
      <w:pPr>
        <w:spacing w:after="0" w:line="240" w:lineRule="auto"/>
        <w:ind w:left="1701" w:hanging="567"/>
        <w:jc w:val="both"/>
      </w:pPr>
      <w:r>
        <w:t>„c)</w:t>
      </w:r>
      <w:r>
        <w:tab/>
        <w:t>az egy tömegben elhelyezhető épületek bruttó alapterülete legfeljebb 250 m</w:t>
      </w:r>
      <w:r>
        <w:rPr>
          <w:vertAlign w:val="superscript"/>
        </w:rPr>
        <w:t>2</w:t>
      </w:r>
      <w:r>
        <w:t>;”</w:t>
      </w:r>
    </w:p>
    <w:p w:rsidR="0033778C" w:rsidRDefault="0033778C" w:rsidP="002E6FCE">
      <w:pPr>
        <w:spacing w:after="0" w:line="240" w:lineRule="auto"/>
        <w:jc w:val="both"/>
      </w:pPr>
    </w:p>
    <w:p w:rsidR="0033778C" w:rsidRPr="003517E6" w:rsidRDefault="0033778C" w:rsidP="002E6FCE">
      <w:pPr>
        <w:pStyle w:val="Listaszerbekezds"/>
        <w:widowControl w:val="0"/>
        <w:numPr>
          <w:ilvl w:val="0"/>
          <w:numId w:val="11"/>
        </w:numPr>
        <w:autoSpaceDE w:val="0"/>
        <w:autoSpaceDN w:val="0"/>
        <w:adjustRightInd w:val="0"/>
        <w:ind w:left="567" w:hanging="567"/>
        <w:rPr>
          <w:bCs/>
          <w:szCs w:val="22"/>
        </w:rPr>
      </w:pPr>
      <w:r w:rsidRPr="003517E6">
        <w:rPr>
          <w:bCs/>
          <w:szCs w:val="22"/>
        </w:rPr>
        <w:t>A Rendelet 38.§ (</w:t>
      </w:r>
      <w:r>
        <w:rPr>
          <w:bCs/>
          <w:szCs w:val="22"/>
        </w:rPr>
        <w:t>10</w:t>
      </w:r>
      <w:r w:rsidRPr="003517E6">
        <w:rPr>
          <w:bCs/>
          <w:szCs w:val="22"/>
        </w:rPr>
        <w:t>) bekezdésének c) pontja helyébe a következő rendelkezés lép:</w:t>
      </w:r>
    </w:p>
    <w:p w:rsidR="0033778C" w:rsidRDefault="0033778C" w:rsidP="002E6FCE">
      <w:pPr>
        <w:spacing w:after="0" w:line="240" w:lineRule="auto"/>
        <w:ind w:left="1134" w:hanging="567"/>
        <w:jc w:val="both"/>
      </w:pPr>
    </w:p>
    <w:p w:rsidR="0033778C" w:rsidRPr="0016015F" w:rsidRDefault="0033778C" w:rsidP="002E6FCE">
      <w:pPr>
        <w:spacing w:after="0" w:line="240" w:lineRule="auto"/>
        <w:ind w:left="1701" w:hanging="567"/>
        <w:jc w:val="both"/>
        <w:rPr>
          <w:i/>
        </w:rPr>
      </w:pPr>
      <w:r w:rsidRPr="0016015F">
        <w:rPr>
          <w:i/>
        </w:rPr>
        <w:t xml:space="preserve">(A </w:t>
      </w:r>
      <w:r w:rsidRPr="0016015F">
        <w:rPr>
          <w:b/>
          <w:i/>
        </w:rPr>
        <w:t>Vt-A</w:t>
      </w:r>
      <w:r>
        <w:rPr>
          <w:b/>
          <w:i/>
        </w:rPr>
        <w:t>6</w:t>
      </w:r>
      <w:r w:rsidRPr="0016015F">
        <w:rPr>
          <w:i/>
        </w:rPr>
        <w:t xml:space="preserve"> jelű építési övezetben)</w:t>
      </w:r>
    </w:p>
    <w:p w:rsidR="0033778C" w:rsidRDefault="0033778C" w:rsidP="002E6FCE">
      <w:pPr>
        <w:spacing w:after="0" w:line="240" w:lineRule="auto"/>
        <w:ind w:left="1701" w:hanging="567"/>
        <w:jc w:val="both"/>
      </w:pPr>
    </w:p>
    <w:p w:rsidR="0033778C" w:rsidRDefault="0033778C" w:rsidP="002E6FCE">
      <w:pPr>
        <w:spacing w:after="0" w:line="240" w:lineRule="auto"/>
        <w:ind w:left="1701" w:hanging="567"/>
        <w:jc w:val="both"/>
      </w:pPr>
      <w:r>
        <w:t>„c)</w:t>
      </w:r>
      <w:r>
        <w:tab/>
        <w:t>az egy tömegben elhelyezhető épületek bruttó alapterülete legfeljebb 300 m</w:t>
      </w:r>
      <w:r>
        <w:rPr>
          <w:vertAlign w:val="superscript"/>
        </w:rPr>
        <w:t>2</w:t>
      </w:r>
      <w:r w:rsidRPr="00251260">
        <w:t>;</w:t>
      </w:r>
      <w:r>
        <w:t>”</w:t>
      </w:r>
    </w:p>
    <w:p w:rsidR="0033778C" w:rsidRDefault="0033778C" w:rsidP="0033778C">
      <w:pPr>
        <w:spacing w:after="0" w:line="240" w:lineRule="auto"/>
      </w:pPr>
    </w:p>
    <w:p w:rsidR="0033778C" w:rsidRPr="003517E6" w:rsidRDefault="0033778C" w:rsidP="0033778C">
      <w:pPr>
        <w:pStyle w:val="Listaszerbekezds"/>
        <w:numPr>
          <w:ilvl w:val="3"/>
          <w:numId w:val="7"/>
        </w:numPr>
        <w:tabs>
          <w:tab w:val="left" w:pos="284"/>
        </w:tabs>
        <w:ind w:left="0" w:firstLine="0"/>
        <w:jc w:val="center"/>
        <w:rPr>
          <w:b/>
          <w:szCs w:val="22"/>
        </w:rPr>
      </w:pPr>
      <w:r w:rsidRPr="003517E6">
        <w:rPr>
          <w:b/>
          <w:szCs w:val="22"/>
        </w:rPr>
        <w:t>§</w:t>
      </w:r>
    </w:p>
    <w:p w:rsidR="0033778C" w:rsidRDefault="0033778C" w:rsidP="0033778C">
      <w:pPr>
        <w:spacing w:after="0" w:line="240" w:lineRule="auto"/>
      </w:pPr>
    </w:p>
    <w:p w:rsidR="0033778C" w:rsidRDefault="0033778C" w:rsidP="0033778C">
      <w:pPr>
        <w:spacing w:after="0" w:line="240" w:lineRule="auto"/>
        <w:rPr>
          <w:bCs/>
        </w:rPr>
      </w:pPr>
      <w:r w:rsidRPr="003517E6">
        <w:rPr>
          <w:bCs/>
        </w:rPr>
        <w:t xml:space="preserve">A Rendelet </w:t>
      </w:r>
      <w:r>
        <w:rPr>
          <w:bCs/>
        </w:rPr>
        <w:t>47</w:t>
      </w:r>
      <w:r w:rsidRPr="003517E6">
        <w:rPr>
          <w:bCs/>
        </w:rPr>
        <w:t>.</w:t>
      </w:r>
      <w:r>
        <w:rPr>
          <w:bCs/>
        </w:rPr>
        <w:t xml:space="preserve"> </w:t>
      </w:r>
      <w:r w:rsidRPr="003517E6">
        <w:rPr>
          <w:bCs/>
        </w:rPr>
        <w:t>§ (</w:t>
      </w:r>
      <w:r>
        <w:rPr>
          <w:bCs/>
        </w:rPr>
        <w:t>5</w:t>
      </w:r>
      <w:r w:rsidRPr="003517E6">
        <w:rPr>
          <w:bCs/>
        </w:rPr>
        <w:t>) bekezdése helyébe a következő rendelkezés lép:</w:t>
      </w:r>
    </w:p>
    <w:p w:rsidR="0033778C" w:rsidRDefault="0033778C" w:rsidP="0033778C">
      <w:pPr>
        <w:spacing w:after="0" w:line="240" w:lineRule="auto"/>
        <w:rPr>
          <w:bCs/>
        </w:rPr>
      </w:pPr>
    </w:p>
    <w:p w:rsidR="0033778C" w:rsidRPr="002E6FCE" w:rsidRDefault="0033778C" w:rsidP="002E6FCE">
      <w:pPr>
        <w:spacing w:after="0"/>
        <w:ind w:left="1134" w:hanging="567"/>
        <w:rPr>
          <w:rFonts w:eastAsia="Calibri"/>
        </w:rPr>
      </w:pPr>
      <w:r>
        <w:rPr>
          <w:rFonts w:eastAsia="Calibri"/>
        </w:rPr>
        <w:t>„(5)</w:t>
      </w:r>
      <w:r>
        <w:rPr>
          <w:rFonts w:eastAsia="Calibri"/>
        </w:rPr>
        <w:tab/>
      </w:r>
      <w:r w:rsidRPr="00C8460C">
        <w:rPr>
          <w:rFonts w:eastAsia="Calibri"/>
        </w:rPr>
        <w:t xml:space="preserve">Az Ek-1 jelű övezetben lévő telken egy tömegben </w:t>
      </w:r>
      <w:r>
        <w:rPr>
          <w:rFonts w:eastAsia="Calibri"/>
        </w:rPr>
        <w:t>legfeljebb</w:t>
      </w:r>
      <w:r w:rsidRPr="00C8460C">
        <w:rPr>
          <w:rFonts w:eastAsia="Calibri"/>
        </w:rPr>
        <w:t xml:space="preserve"> 100 m</w:t>
      </w:r>
      <w:r w:rsidRPr="004C3B1D">
        <w:rPr>
          <w:rFonts w:eastAsia="Calibri"/>
          <w:vertAlign w:val="superscript"/>
        </w:rPr>
        <w:t>2</w:t>
      </w:r>
      <w:r w:rsidRPr="00C8460C">
        <w:rPr>
          <w:rFonts w:eastAsia="Calibri"/>
        </w:rPr>
        <w:t xml:space="preserve"> </w:t>
      </w:r>
      <w:r>
        <w:rPr>
          <w:rFonts w:eastAsia="Calibri"/>
        </w:rPr>
        <w:t xml:space="preserve">bruttó </w:t>
      </w:r>
      <w:r w:rsidRPr="00C8460C">
        <w:rPr>
          <w:rFonts w:eastAsia="Calibri"/>
        </w:rPr>
        <w:t>alapterületű épület helyezhető el.</w:t>
      </w:r>
      <w:r>
        <w:rPr>
          <w:rFonts w:eastAsia="Calibri"/>
        </w:rPr>
        <w:t>”</w:t>
      </w:r>
    </w:p>
    <w:p w:rsidR="0033778C" w:rsidRPr="003517E6" w:rsidRDefault="0033778C" w:rsidP="0033778C">
      <w:pPr>
        <w:pStyle w:val="Listaszerbekezds"/>
        <w:numPr>
          <w:ilvl w:val="3"/>
          <w:numId w:val="7"/>
        </w:numPr>
        <w:tabs>
          <w:tab w:val="left" w:pos="284"/>
        </w:tabs>
        <w:ind w:left="0" w:firstLine="0"/>
        <w:jc w:val="center"/>
        <w:rPr>
          <w:b/>
          <w:szCs w:val="22"/>
        </w:rPr>
      </w:pPr>
      <w:r w:rsidRPr="003517E6">
        <w:rPr>
          <w:b/>
          <w:szCs w:val="22"/>
        </w:rPr>
        <w:t>§</w:t>
      </w:r>
    </w:p>
    <w:p w:rsidR="0033778C" w:rsidRPr="003517E6" w:rsidRDefault="0033778C" w:rsidP="0033778C">
      <w:pPr>
        <w:spacing w:after="0" w:line="240" w:lineRule="auto"/>
        <w:ind w:left="1134" w:hanging="567"/>
      </w:pPr>
    </w:p>
    <w:p w:rsidR="0033778C" w:rsidRPr="003517E6" w:rsidRDefault="0033778C" w:rsidP="0033778C">
      <w:pPr>
        <w:pStyle w:val="Listaszerbekezds"/>
        <w:widowControl w:val="0"/>
        <w:numPr>
          <w:ilvl w:val="0"/>
          <w:numId w:val="12"/>
        </w:numPr>
        <w:autoSpaceDE w:val="0"/>
        <w:autoSpaceDN w:val="0"/>
        <w:adjustRightInd w:val="0"/>
        <w:ind w:left="567" w:hanging="567"/>
        <w:rPr>
          <w:bCs/>
          <w:szCs w:val="22"/>
        </w:rPr>
      </w:pPr>
      <w:r w:rsidRPr="003517E6">
        <w:rPr>
          <w:bCs/>
          <w:szCs w:val="22"/>
        </w:rPr>
        <w:t>A Rendelet 50</w:t>
      </w:r>
      <w:r w:rsidRPr="003517E6">
        <w:rPr>
          <w:szCs w:val="22"/>
        </w:rPr>
        <w:t>.§ (4) és (5) bekezdés</w:t>
      </w:r>
      <w:r w:rsidRPr="003517E6">
        <w:rPr>
          <w:bCs/>
          <w:szCs w:val="22"/>
        </w:rPr>
        <w:t xml:space="preserve">e </w:t>
      </w:r>
      <w:r w:rsidRPr="003517E6">
        <w:rPr>
          <w:bCs/>
          <w:iCs/>
          <w:szCs w:val="22"/>
        </w:rPr>
        <w:t>helyébe a következő rendelkezések lépnek</w:t>
      </w:r>
      <w:r w:rsidRPr="003517E6">
        <w:rPr>
          <w:bCs/>
          <w:szCs w:val="22"/>
        </w:rPr>
        <w:t>:</w:t>
      </w:r>
    </w:p>
    <w:p w:rsidR="0033778C" w:rsidRPr="003517E6" w:rsidRDefault="0033778C" w:rsidP="0033778C">
      <w:pPr>
        <w:spacing w:after="0" w:line="240" w:lineRule="auto"/>
      </w:pPr>
    </w:p>
    <w:p w:rsidR="0033778C" w:rsidRPr="003517E6" w:rsidRDefault="0033778C" w:rsidP="0033778C">
      <w:pPr>
        <w:spacing w:after="0" w:line="240" w:lineRule="auto"/>
        <w:ind w:left="1134" w:hanging="567"/>
        <w:rPr>
          <w:rFonts w:eastAsia="Calibri"/>
          <w:bCs/>
        </w:rPr>
      </w:pPr>
      <w:r w:rsidRPr="003517E6">
        <w:rPr>
          <w:rFonts w:eastAsia="Calibri"/>
          <w:bCs/>
        </w:rPr>
        <w:t>„(4)</w:t>
      </w:r>
      <w:r w:rsidRPr="003517E6">
        <w:rPr>
          <w:rFonts w:eastAsia="Calibri"/>
          <w:bCs/>
        </w:rPr>
        <w:tab/>
        <w:t>Az Má-2 jelű övezetben elhelyezhetők továbbá:</w:t>
      </w:r>
    </w:p>
    <w:p w:rsidR="0033778C" w:rsidRPr="003517E6" w:rsidRDefault="0033778C" w:rsidP="0033778C">
      <w:pPr>
        <w:numPr>
          <w:ilvl w:val="0"/>
          <w:numId w:val="5"/>
        </w:numPr>
        <w:spacing w:after="0" w:line="240" w:lineRule="auto"/>
        <w:ind w:left="1701" w:hanging="567"/>
        <w:jc w:val="both"/>
        <w:rPr>
          <w:rFonts w:eastAsia="Calibri"/>
        </w:rPr>
      </w:pPr>
      <w:r w:rsidRPr="003517E6">
        <w:rPr>
          <w:rFonts w:eastAsia="Calibri"/>
        </w:rPr>
        <w:t>a nem üzemszerű állattartás keretei között a lótartás építményei,</w:t>
      </w:r>
    </w:p>
    <w:p w:rsidR="0033778C" w:rsidRPr="003517E6" w:rsidRDefault="0033778C" w:rsidP="0033778C">
      <w:pPr>
        <w:numPr>
          <w:ilvl w:val="0"/>
          <w:numId w:val="5"/>
        </w:numPr>
        <w:spacing w:after="0" w:line="240" w:lineRule="auto"/>
        <w:ind w:left="1701" w:hanging="567"/>
        <w:jc w:val="both"/>
        <w:rPr>
          <w:rFonts w:eastAsia="Calibri"/>
        </w:rPr>
      </w:pPr>
      <w:r w:rsidRPr="003517E6">
        <w:rPr>
          <w:rFonts w:eastAsia="Calibri"/>
        </w:rPr>
        <w:t>legfeljebb egy szolgálati lakás, amennyiben a lótartás idegenforgalmi, terápiás tevékenységgel összekapcsolódva történik (pl. lovasturizmus, szolgáltató és vendéglátó tevékenységek) és a mezőgazdasági célú gazdasági-, állattartó építmény korábban már megépült, vagy azzal egyidejűleg épül meg. A lakóépület által elfoglalt terület a telek területének 0,25%-a, de legfeljebb 200 m</w:t>
      </w:r>
      <w:r w:rsidRPr="003517E6">
        <w:rPr>
          <w:rFonts w:eastAsia="Calibri"/>
          <w:vertAlign w:val="superscript"/>
        </w:rPr>
        <w:t>2</w:t>
      </w:r>
      <w:r w:rsidRPr="003517E6">
        <w:rPr>
          <w:rFonts w:eastAsia="Calibri"/>
        </w:rPr>
        <w:t xml:space="preserve"> </w:t>
      </w:r>
      <w:r>
        <w:rPr>
          <w:rFonts w:eastAsia="Calibri"/>
        </w:rPr>
        <w:t xml:space="preserve">bruttó alapterületű </w:t>
      </w:r>
      <w:r w:rsidRPr="003517E6">
        <w:rPr>
          <w:rFonts w:eastAsia="Calibri"/>
        </w:rPr>
        <w:t>lehet.</w:t>
      </w:r>
    </w:p>
    <w:p w:rsidR="0033778C" w:rsidRPr="003517E6" w:rsidRDefault="0033778C" w:rsidP="0033778C">
      <w:pPr>
        <w:spacing w:after="0" w:line="240" w:lineRule="auto"/>
        <w:ind w:left="1134" w:hanging="567"/>
        <w:rPr>
          <w:rFonts w:eastAsia="Calibri"/>
          <w:bCs/>
        </w:rPr>
      </w:pPr>
      <w:r w:rsidRPr="003517E6">
        <w:rPr>
          <w:rFonts w:eastAsia="Calibri"/>
          <w:bCs/>
        </w:rPr>
        <w:t>(5)</w:t>
      </w:r>
      <w:r w:rsidRPr="003517E6">
        <w:rPr>
          <w:rFonts w:eastAsia="Calibri"/>
          <w:bCs/>
        </w:rPr>
        <w:tab/>
        <w:t>Az Má-3 jelű övezetben elhelyezhetők továbbá:</w:t>
      </w:r>
    </w:p>
    <w:p w:rsidR="0033778C" w:rsidRPr="003517E6" w:rsidRDefault="0033778C" w:rsidP="0033778C">
      <w:pPr>
        <w:numPr>
          <w:ilvl w:val="0"/>
          <w:numId w:val="8"/>
        </w:numPr>
        <w:spacing w:after="0" w:line="240" w:lineRule="auto"/>
        <w:ind w:left="1701" w:hanging="567"/>
        <w:jc w:val="both"/>
        <w:rPr>
          <w:rFonts w:eastAsia="Calibri"/>
        </w:rPr>
      </w:pPr>
      <w:r w:rsidRPr="003517E6">
        <w:rPr>
          <w:rFonts w:eastAsia="Calibri"/>
        </w:rPr>
        <w:t>a nem üzemszerű</w:t>
      </w:r>
      <w:r w:rsidRPr="003517E6">
        <w:rPr>
          <w:rFonts w:eastAsia="Calibri"/>
          <w:sz w:val="28"/>
          <w:szCs w:val="28"/>
        </w:rPr>
        <w:t xml:space="preserve"> </w:t>
      </w:r>
      <w:r w:rsidRPr="003517E6">
        <w:rPr>
          <w:rFonts w:eastAsia="Calibri"/>
        </w:rPr>
        <w:t>állattartás építményei,</w:t>
      </w:r>
    </w:p>
    <w:p w:rsidR="0033778C" w:rsidRPr="003517E6" w:rsidRDefault="0033778C" w:rsidP="0033778C">
      <w:pPr>
        <w:numPr>
          <w:ilvl w:val="0"/>
          <w:numId w:val="8"/>
        </w:numPr>
        <w:spacing w:after="0" w:line="240" w:lineRule="auto"/>
        <w:ind w:left="1701" w:hanging="567"/>
        <w:jc w:val="both"/>
        <w:rPr>
          <w:rFonts w:eastAsia="Calibri"/>
        </w:rPr>
      </w:pPr>
      <w:r w:rsidRPr="003517E6">
        <w:rPr>
          <w:rFonts w:eastAsia="Calibri"/>
        </w:rPr>
        <w:t>legfeljebb egy darab kétlakásos lakóépület is elhelyezhető amennyiben a mezőgazdasági célú gazdasági építmény korábban már megépült, vagy azzal egyidejűleg épül meg. A lakóépület a megengedett beépítettség felét, a 1,5%-ot nem haladhatja meg.”</w:t>
      </w:r>
    </w:p>
    <w:p w:rsidR="0033778C" w:rsidRPr="003517E6" w:rsidRDefault="0033778C" w:rsidP="0033778C">
      <w:pPr>
        <w:spacing w:after="0" w:line="240" w:lineRule="auto"/>
        <w:ind w:left="1134" w:hanging="567"/>
      </w:pPr>
    </w:p>
    <w:p w:rsidR="0033778C" w:rsidRPr="003517E6" w:rsidRDefault="0033778C" w:rsidP="0033778C">
      <w:pPr>
        <w:pStyle w:val="Listaszerbekezds"/>
        <w:widowControl w:val="0"/>
        <w:numPr>
          <w:ilvl w:val="0"/>
          <w:numId w:val="12"/>
        </w:numPr>
        <w:autoSpaceDE w:val="0"/>
        <w:autoSpaceDN w:val="0"/>
        <w:adjustRightInd w:val="0"/>
        <w:ind w:left="567" w:hanging="567"/>
        <w:rPr>
          <w:bCs/>
          <w:szCs w:val="22"/>
        </w:rPr>
      </w:pPr>
      <w:r w:rsidRPr="003517E6">
        <w:rPr>
          <w:bCs/>
          <w:szCs w:val="22"/>
        </w:rPr>
        <w:t>A Rendelet 50.§ (10) bekezdése helyébe a következő rendelkezés lép:</w:t>
      </w:r>
    </w:p>
    <w:p w:rsidR="0033778C" w:rsidRPr="003517E6" w:rsidRDefault="0033778C" w:rsidP="0033778C">
      <w:pPr>
        <w:spacing w:after="0"/>
        <w:ind w:left="1701" w:hanging="567"/>
      </w:pPr>
    </w:p>
    <w:p w:rsidR="0033778C" w:rsidRDefault="0033778C" w:rsidP="0033778C">
      <w:pPr>
        <w:tabs>
          <w:tab w:val="right" w:pos="9072"/>
        </w:tabs>
        <w:spacing w:after="0" w:line="240" w:lineRule="auto"/>
        <w:ind w:left="1134" w:hanging="567"/>
        <w:jc w:val="both"/>
        <w:rPr>
          <w:rFonts w:eastAsia="Calibri"/>
        </w:rPr>
      </w:pPr>
      <w:r w:rsidRPr="009C7FA7">
        <w:rPr>
          <w:rFonts w:eastAsia="Calibri"/>
          <w:bCs/>
        </w:rPr>
        <w:t>„(10)</w:t>
      </w:r>
      <w:r w:rsidRPr="009C7FA7">
        <w:rPr>
          <w:rFonts w:eastAsia="Calibri"/>
          <w:bCs/>
        </w:rPr>
        <w:tab/>
        <w:t>Állattartással kapcsolatos építmények e rendelet 3. mellékletében foglaltak szerint helyezhetők el oly módon, hogy az állattartó építmények, melléképítmények</w:t>
      </w:r>
      <w:r w:rsidRPr="009C7FA7">
        <w:rPr>
          <w:rFonts w:eastAsia="Calibri"/>
        </w:rPr>
        <w:t xml:space="preserve"> előkertben nem helyezhetők el és a telekhatártól előírt távolságuk azonos az épület elhelyezésére vonatkozó előírásokkal.”</w:t>
      </w:r>
    </w:p>
    <w:p w:rsidR="0033778C" w:rsidRPr="009C7FA7" w:rsidRDefault="0033778C" w:rsidP="0033778C">
      <w:pPr>
        <w:tabs>
          <w:tab w:val="right" w:pos="9072"/>
        </w:tabs>
        <w:spacing w:after="0" w:line="240" w:lineRule="auto"/>
        <w:ind w:left="1134" w:hanging="567"/>
        <w:jc w:val="both"/>
        <w:rPr>
          <w:rFonts w:eastAsia="Calibri"/>
        </w:rPr>
      </w:pPr>
    </w:p>
    <w:p w:rsidR="0033778C" w:rsidRPr="003517E6" w:rsidRDefault="0033778C" w:rsidP="0033778C">
      <w:pPr>
        <w:pStyle w:val="Listaszerbekezds"/>
        <w:numPr>
          <w:ilvl w:val="3"/>
          <w:numId w:val="7"/>
        </w:numPr>
        <w:tabs>
          <w:tab w:val="left" w:pos="284"/>
        </w:tabs>
        <w:ind w:left="0" w:firstLine="0"/>
        <w:jc w:val="center"/>
        <w:rPr>
          <w:b/>
          <w:szCs w:val="22"/>
        </w:rPr>
      </w:pPr>
      <w:r w:rsidRPr="003517E6">
        <w:rPr>
          <w:b/>
          <w:szCs w:val="22"/>
        </w:rPr>
        <w:t>§</w:t>
      </w:r>
    </w:p>
    <w:p w:rsidR="0033778C" w:rsidRPr="00453994" w:rsidRDefault="0033778C" w:rsidP="0033778C">
      <w:pPr>
        <w:spacing w:after="0" w:line="240" w:lineRule="auto"/>
        <w:ind w:left="1134" w:hanging="567"/>
      </w:pPr>
    </w:p>
    <w:p w:rsidR="0033778C" w:rsidRPr="003517E6" w:rsidRDefault="0033778C" w:rsidP="002E6FCE">
      <w:pPr>
        <w:widowControl w:val="0"/>
        <w:autoSpaceDE w:val="0"/>
        <w:autoSpaceDN w:val="0"/>
        <w:adjustRightInd w:val="0"/>
        <w:spacing w:after="0"/>
        <w:jc w:val="both"/>
        <w:rPr>
          <w:bCs/>
        </w:rPr>
      </w:pPr>
      <w:r w:rsidRPr="000C37D0">
        <w:rPr>
          <w:bCs/>
        </w:rPr>
        <w:t>A</w:t>
      </w:r>
      <w:r>
        <w:rPr>
          <w:bCs/>
        </w:rPr>
        <w:t xml:space="preserve"> Rendelet </w:t>
      </w:r>
      <w:r w:rsidRPr="003517E6">
        <w:rPr>
          <w:bCs/>
        </w:rPr>
        <w:t>38.§ (1) bekezdésének 3. táblázata F9 mezőjében a „6,5” szövegrész helyébe a „7,0” szöveg lép,</w:t>
      </w:r>
    </w:p>
    <w:p w:rsidR="0033778C" w:rsidRDefault="0033778C" w:rsidP="0033778C">
      <w:pPr>
        <w:widowControl w:val="0"/>
        <w:autoSpaceDE w:val="0"/>
        <w:autoSpaceDN w:val="0"/>
        <w:adjustRightInd w:val="0"/>
        <w:spacing w:after="0"/>
        <w:rPr>
          <w:bCs/>
        </w:rPr>
      </w:pPr>
    </w:p>
    <w:p w:rsidR="0033778C" w:rsidRPr="00F52D9D" w:rsidRDefault="0033778C" w:rsidP="0033778C">
      <w:pPr>
        <w:pStyle w:val="Listaszerbekezds"/>
        <w:numPr>
          <w:ilvl w:val="3"/>
          <w:numId w:val="7"/>
        </w:numPr>
        <w:tabs>
          <w:tab w:val="left" w:pos="284"/>
        </w:tabs>
        <w:ind w:left="0" w:firstLine="0"/>
        <w:jc w:val="center"/>
        <w:rPr>
          <w:b/>
          <w:szCs w:val="22"/>
        </w:rPr>
      </w:pPr>
      <w:r w:rsidRPr="00F52D9D">
        <w:rPr>
          <w:b/>
          <w:szCs w:val="22"/>
        </w:rPr>
        <w:t>§</w:t>
      </w:r>
    </w:p>
    <w:p w:rsidR="0033778C" w:rsidRPr="00F52D9D" w:rsidRDefault="0033778C" w:rsidP="0033778C">
      <w:pPr>
        <w:spacing w:after="0"/>
        <w:jc w:val="center"/>
        <w:rPr>
          <w:b/>
        </w:rPr>
      </w:pPr>
    </w:p>
    <w:p w:rsidR="0033778C" w:rsidRDefault="0033778C" w:rsidP="0033778C">
      <w:pPr>
        <w:pStyle w:val="Listaszerbekezds"/>
        <w:widowControl w:val="0"/>
        <w:numPr>
          <w:ilvl w:val="0"/>
          <w:numId w:val="6"/>
        </w:numPr>
        <w:autoSpaceDE w:val="0"/>
        <w:autoSpaceDN w:val="0"/>
        <w:adjustRightInd w:val="0"/>
        <w:ind w:left="567" w:hanging="567"/>
        <w:contextualSpacing w:val="0"/>
        <w:rPr>
          <w:bCs/>
          <w:szCs w:val="22"/>
        </w:rPr>
      </w:pPr>
      <w:r w:rsidRPr="00E9749A">
        <w:rPr>
          <w:bCs/>
          <w:szCs w:val="22"/>
        </w:rPr>
        <w:t>A Rendelet 1. melléklete e rendelet 1. melléklete szerint módosul.</w:t>
      </w:r>
    </w:p>
    <w:p w:rsidR="0033778C" w:rsidRPr="00E9749A" w:rsidRDefault="0033778C" w:rsidP="0033778C">
      <w:pPr>
        <w:pStyle w:val="Listaszerbekezds"/>
        <w:widowControl w:val="0"/>
        <w:numPr>
          <w:ilvl w:val="0"/>
          <w:numId w:val="6"/>
        </w:numPr>
        <w:autoSpaceDE w:val="0"/>
        <w:autoSpaceDN w:val="0"/>
        <w:adjustRightInd w:val="0"/>
        <w:ind w:left="567" w:hanging="567"/>
        <w:contextualSpacing w:val="0"/>
        <w:rPr>
          <w:bCs/>
          <w:szCs w:val="22"/>
        </w:rPr>
      </w:pPr>
      <w:r w:rsidRPr="00E9749A">
        <w:rPr>
          <w:bCs/>
          <w:szCs w:val="22"/>
        </w:rPr>
        <w:t xml:space="preserve">A Rendelet </w:t>
      </w:r>
      <w:r>
        <w:rPr>
          <w:bCs/>
          <w:szCs w:val="22"/>
        </w:rPr>
        <w:t>3</w:t>
      </w:r>
      <w:r w:rsidRPr="00E9749A">
        <w:rPr>
          <w:bCs/>
          <w:szCs w:val="22"/>
        </w:rPr>
        <w:t xml:space="preserve">. melléklete </w:t>
      </w:r>
      <w:r>
        <w:rPr>
          <w:bCs/>
          <w:szCs w:val="22"/>
        </w:rPr>
        <w:t xml:space="preserve">helyébe </w:t>
      </w:r>
      <w:r w:rsidRPr="00E9749A">
        <w:rPr>
          <w:bCs/>
          <w:szCs w:val="22"/>
        </w:rPr>
        <w:t xml:space="preserve">e rendelet </w:t>
      </w:r>
      <w:r>
        <w:rPr>
          <w:bCs/>
          <w:szCs w:val="22"/>
        </w:rPr>
        <w:t>2</w:t>
      </w:r>
      <w:r w:rsidRPr="00E9749A">
        <w:rPr>
          <w:bCs/>
          <w:szCs w:val="22"/>
        </w:rPr>
        <w:t xml:space="preserve">. melléklete </w:t>
      </w:r>
      <w:r>
        <w:rPr>
          <w:bCs/>
          <w:szCs w:val="22"/>
        </w:rPr>
        <w:t>lép.</w:t>
      </w:r>
    </w:p>
    <w:p w:rsidR="0033778C" w:rsidRDefault="0033778C" w:rsidP="0033778C">
      <w:pPr>
        <w:spacing w:after="0"/>
      </w:pPr>
    </w:p>
    <w:p w:rsidR="0033778C" w:rsidRPr="00F52D9D" w:rsidRDefault="0033778C" w:rsidP="0033778C">
      <w:pPr>
        <w:pStyle w:val="Listaszerbekezds"/>
        <w:numPr>
          <w:ilvl w:val="3"/>
          <w:numId w:val="7"/>
        </w:numPr>
        <w:tabs>
          <w:tab w:val="left" w:pos="284"/>
        </w:tabs>
        <w:ind w:left="0" w:firstLine="0"/>
        <w:jc w:val="center"/>
        <w:rPr>
          <w:b/>
          <w:szCs w:val="22"/>
        </w:rPr>
      </w:pPr>
      <w:r w:rsidRPr="00F52D9D">
        <w:rPr>
          <w:b/>
          <w:szCs w:val="22"/>
        </w:rPr>
        <w:t>§</w:t>
      </w:r>
    </w:p>
    <w:p w:rsidR="0033778C" w:rsidRDefault="0033778C" w:rsidP="0033778C">
      <w:pPr>
        <w:widowControl w:val="0"/>
        <w:autoSpaceDE w:val="0"/>
        <w:autoSpaceDN w:val="0"/>
        <w:adjustRightInd w:val="0"/>
        <w:spacing w:after="0"/>
        <w:rPr>
          <w:bCs/>
        </w:rPr>
      </w:pPr>
    </w:p>
    <w:p w:rsidR="0033778C" w:rsidRPr="00A05CB5" w:rsidRDefault="0033778C" w:rsidP="0033778C">
      <w:pPr>
        <w:spacing w:after="0"/>
        <w:contextualSpacing/>
      </w:pPr>
      <w:r w:rsidRPr="00A05CB5">
        <w:t>Ez a rendelet a</w:t>
      </w:r>
      <w:r>
        <w:t xml:space="preserve"> kihirdetést követ</w:t>
      </w:r>
      <w:r w:rsidR="007321A1">
        <w:t xml:space="preserve"> </w:t>
      </w:r>
      <w:r w:rsidRPr="00A05CB5">
        <w:t>15. napon lép hatályba.</w:t>
      </w:r>
    </w:p>
    <w:p w:rsidR="0033778C" w:rsidRDefault="0033778C" w:rsidP="0033778C">
      <w:pPr>
        <w:widowControl w:val="0"/>
        <w:autoSpaceDE w:val="0"/>
        <w:autoSpaceDN w:val="0"/>
        <w:adjustRightInd w:val="0"/>
        <w:spacing w:after="0"/>
        <w:rPr>
          <w:bCs/>
        </w:rPr>
      </w:pPr>
    </w:p>
    <w:p w:rsidR="0033778C" w:rsidRDefault="0033778C" w:rsidP="0033778C">
      <w:pPr>
        <w:widowControl w:val="0"/>
        <w:autoSpaceDE w:val="0"/>
        <w:autoSpaceDN w:val="0"/>
        <w:adjustRightInd w:val="0"/>
        <w:spacing w:after="0"/>
        <w:rPr>
          <w:bCs/>
        </w:rPr>
      </w:pPr>
    </w:p>
    <w:tbl>
      <w:tblPr>
        <w:tblStyle w:val="Rcsostblza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3778C" w:rsidRPr="00556E40" w:rsidTr="008F30BE">
        <w:tc>
          <w:tcPr>
            <w:tcW w:w="4531" w:type="dxa"/>
          </w:tcPr>
          <w:p w:rsidR="0033778C" w:rsidRPr="00556E40" w:rsidRDefault="0033778C" w:rsidP="0033778C">
            <w:pPr>
              <w:tabs>
                <w:tab w:val="right" w:pos="9072"/>
              </w:tabs>
              <w:jc w:val="center"/>
              <w:rPr>
                <w:rFonts w:eastAsia="Calibri"/>
                <w:bCs/>
                <w:szCs w:val="22"/>
              </w:rPr>
            </w:pPr>
            <w:r w:rsidRPr="00556E40">
              <w:rPr>
                <w:rFonts w:eastAsia="Calibri"/>
                <w:bCs/>
                <w:szCs w:val="22"/>
              </w:rPr>
              <w:t>Deltai Károly</w:t>
            </w:r>
          </w:p>
          <w:p w:rsidR="0033778C" w:rsidRPr="00556E40" w:rsidRDefault="0033778C" w:rsidP="0033778C">
            <w:pPr>
              <w:tabs>
                <w:tab w:val="right" w:pos="9072"/>
              </w:tabs>
              <w:jc w:val="center"/>
              <w:rPr>
                <w:rFonts w:eastAsia="Calibri"/>
                <w:bCs/>
                <w:szCs w:val="22"/>
              </w:rPr>
            </w:pPr>
            <w:r>
              <w:rPr>
                <w:rFonts w:eastAsia="Calibri"/>
                <w:bCs/>
                <w:szCs w:val="22"/>
              </w:rPr>
              <w:t>p</w:t>
            </w:r>
            <w:r w:rsidRPr="00556E40">
              <w:rPr>
                <w:rFonts w:eastAsia="Calibri"/>
                <w:bCs/>
                <w:szCs w:val="22"/>
              </w:rPr>
              <w:t>olgármester</w:t>
            </w:r>
          </w:p>
        </w:tc>
        <w:tc>
          <w:tcPr>
            <w:tcW w:w="4531" w:type="dxa"/>
          </w:tcPr>
          <w:p w:rsidR="0033778C" w:rsidRPr="00556E40" w:rsidRDefault="0033778C" w:rsidP="0033778C">
            <w:pPr>
              <w:tabs>
                <w:tab w:val="right" w:pos="9072"/>
              </w:tabs>
              <w:jc w:val="center"/>
              <w:rPr>
                <w:rFonts w:eastAsia="Calibri"/>
                <w:bCs/>
                <w:szCs w:val="22"/>
              </w:rPr>
            </w:pPr>
            <w:r w:rsidRPr="00556E40">
              <w:rPr>
                <w:rFonts w:eastAsia="Calibri"/>
                <w:bCs/>
                <w:szCs w:val="22"/>
              </w:rPr>
              <w:t>dr. Lack Mónika</w:t>
            </w:r>
          </w:p>
          <w:p w:rsidR="0033778C" w:rsidRPr="00556E40" w:rsidRDefault="0033778C" w:rsidP="0033778C">
            <w:pPr>
              <w:tabs>
                <w:tab w:val="right" w:pos="9072"/>
              </w:tabs>
              <w:jc w:val="center"/>
              <w:rPr>
                <w:rFonts w:eastAsia="Calibri"/>
                <w:bCs/>
                <w:szCs w:val="22"/>
              </w:rPr>
            </w:pPr>
            <w:r w:rsidRPr="00556E40">
              <w:rPr>
                <w:rFonts w:eastAsia="Calibri"/>
                <w:bCs/>
                <w:szCs w:val="22"/>
              </w:rPr>
              <w:t>jegyző</w:t>
            </w:r>
          </w:p>
        </w:tc>
      </w:tr>
    </w:tbl>
    <w:p w:rsidR="0033778C" w:rsidRDefault="0033778C" w:rsidP="0033778C">
      <w:pPr>
        <w:tabs>
          <w:tab w:val="right" w:pos="8931"/>
        </w:tabs>
        <w:spacing w:after="0"/>
        <w:rPr>
          <w:rFonts w:eastAsia="Calibri"/>
        </w:rPr>
      </w:pPr>
      <w:r w:rsidRPr="00744450">
        <w:rPr>
          <w:rFonts w:eastAsia="Calibri"/>
        </w:rPr>
        <w:tab/>
      </w:r>
    </w:p>
    <w:p w:rsidR="0033778C" w:rsidRDefault="0033778C" w:rsidP="0033778C">
      <w:pPr>
        <w:tabs>
          <w:tab w:val="right" w:pos="8931"/>
        </w:tabs>
        <w:spacing w:after="0"/>
        <w:rPr>
          <w:rFonts w:eastAsia="Calibri"/>
        </w:rPr>
      </w:pPr>
    </w:p>
    <w:p w:rsidR="0033778C" w:rsidRDefault="0033778C" w:rsidP="0033778C">
      <w:pPr>
        <w:tabs>
          <w:tab w:val="right" w:pos="8931"/>
        </w:tabs>
        <w:spacing w:after="0"/>
        <w:rPr>
          <w:rFonts w:eastAsia="Calibri"/>
        </w:rPr>
      </w:pPr>
    </w:p>
    <w:p w:rsidR="0033778C" w:rsidRDefault="0033778C" w:rsidP="0033778C">
      <w:pPr>
        <w:tabs>
          <w:tab w:val="right" w:pos="8931"/>
        </w:tabs>
        <w:spacing w:after="0"/>
        <w:rPr>
          <w:rFonts w:eastAsia="Calibri"/>
        </w:rPr>
      </w:pPr>
      <w:r>
        <w:rPr>
          <w:rFonts w:eastAsia="Calibri"/>
        </w:rPr>
        <w:br w:type="page"/>
      </w:r>
    </w:p>
    <w:p w:rsidR="0033778C" w:rsidRPr="000E484B" w:rsidRDefault="0033778C" w:rsidP="000E484B">
      <w:pPr>
        <w:spacing w:after="0" w:line="240" w:lineRule="auto"/>
        <w:ind w:left="4956" w:firstLine="708"/>
        <w:jc w:val="center"/>
        <w:rPr>
          <w:rFonts w:ascii="Times New Roman" w:hAnsi="Times New Roman" w:cs="Times New Roman"/>
          <w:sz w:val="24"/>
          <w:szCs w:val="24"/>
        </w:rPr>
      </w:pPr>
    </w:p>
    <w:sectPr w:rsidR="0033778C" w:rsidRPr="000E48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B7AEE"/>
    <w:multiLevelType w:val="hybridMultilevel"/>
    <w:tmpl w:val="90020F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6D933A5"/>
    <w:multiLevelType w:val="hybridMultilevel"/>
    <w:tmpl w:val="A83462C0"/>
    <w:lvl w:ilvl="0" w:tplc="F6CC70C2">
      <w:start w:val="8"/>
      <w:numFmt w:val="decimal"/>
      <w:lvlText w:val="%1."/>
      <w:lvlJc w:val="left"/>
      <w:pPr>
        <w:ind w:left="1080" w:hanging="360"/>
      </w:pPr>
      <w:rPr>
        <w:rFonts w:hint="default"/>
        <w:b w:val="0"/>
        <w:i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15:restartNumberingAfterBreak="0">
    <w:nsid w:val="18EC3A0E"/>
    <w:multiLevelType w:val="hybridMultilevel"/>
    <w:tmpl w:val="217CE4C0"/>
    <w:lvl w:ilvl="0" w:tplc="2ECA69BC">
      <w:start w:val="1"/>
      <w:numFmt w:val="decimal"/>
      <w:lvlText w:val="(%1)"/>
      <w:lvlJc w:val="left"/>
      <w:pPr>
        <w:ind w:left="720" w:hanging="360"/>
      </w:pPr>
      <w:rPr>
        <w:rFonts w:ascii="Cambria" w:hAnsi="Cambria" w:hint="default"/>
        <w:b w:val="0"/>
        <w:i w:val="0"/>
        <w:color w:val="auto"/>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14728A1"/>
    <w:multiLevelType w:val="hybridMultilevel"/>
    <w:tmpl w:val="C2FA892E"/>
    <w:lvl w:ilvl="0" w:tplc="FE686CD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A340E8F"/>
    <w:multiLevelType w:val="hybridMultilevel"/>
    <w:tmpl w:val="63A05772"/>
    <w:lvl w:ilvl="0" w:tplc="FE686CD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5621324"/>
    <w:multiLevelType w:val="hybridMultilevel"/>
    <w:tmpl w:val="ED465BB8"/>
    <w:lvl w:ilvl="0" w:tplc="FE686CD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A172B7F"/>
    <w:multiLevelType w:val="hybridMultilevel"/>
    <w:tmpl w:val="72024C28"/>
    <w:lvl w:ilvl="0" w:tplc="50DED276">
      <w:start w:val="1"/>
      <w:numFmt w:val="lowerLetter"/>
      <w:lvlText w:val="%1)"/>
      <w:lvlJc w:val="left"/>
      <w:pPr>
        <w:ind w:left="128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5851A48"/>
    <w:multiLevelType w:val="hybridMultilevel"/>
    <w:tmpl w:val="F9B8AFE2"/>
    <w:lvl w:ilvl="0" w:tplc="FE686CD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CF60705"/>
    <w:multiLevelType w:val="hybridMultilevel"/>
    <w:tmpl w:val="1DE6522E"/>
    <w:lvl w:ilvl="0" w:tplc="094ADD9A">
      <w:start w:val="1"/>
      <w:numFmt w:val="lowerLetter"/>
      <w:lvlText w:val="%1)"/>
      <w:lvlJc w:val="left"/>
      <w:pPr>
        <w:ind w:left="720" w:hanging="360"/>
      </w:pPr>
      <w:rPr>
        <w:rFonts w:ascii="Cambria" w:hAnsi="Cambria" w:hint="default"/>
        <w:sz w:val="22"/>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73D5BE8"/>
    <w:multiLevelType w:val="hybridMultilevel"/>
    <w:tmpl w:val="4612A3AE"/>
    <w:lvl w:ilvl="0" w:tplc="6336854A">
      <w:start w:val="1"/>
      <w:numFmt w:val="lowerLetter"/>
      <w:lvlText w:val="%1)"/>
      <w:lvlJc w:val="left"/>
      <w:pPr>
        <w:ind w:left="720" w:hanging="360"/>
      </w:pPr>
      <w:rPr>
        <w:rFonts w:hint="default"/>
        <w:sz w:val="22"/>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A771A44"/>
    <w:multiLevelType w:val="hybridMultilevel"/>
    <w:tmpl w:val="9A423CA4"/>
    <w:lvl w:ilvl="0" w:tplc="70E0A754">
      <w:start w:val="1"/>
      <w:numFmt w:val="lowerLetter"/>
      <w:lvlText w:val="e%1)"/>
      <w:lvlJc w:val="left"/>
      <w:pPr>
        <w:ind w:left="928" w:hanging="360"/>
      </w:pPr>
      <w:rPr>
        <w:rFonts w:ascii="Cambria" w:hAnsi="Cambria" w:hint="default"/>
        <w:strike w:val="0"/>
        <w:color w:val="auto"/>
        <w:spacing w:val="-1"/>
        <w:sz w:val="22"/>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B532BC0"/>
    <w:multiLevelType w:val="hybridMultilevel"/>
    <w:tmpl w:val="72024C28"/>
    <w:lvl w:ilvl="0" w:tplc="50DED276">
      <w:start w:val="1"/>
      <w:numFmt w:val="lowerLetter"/>
      <w:lvlText w:val="%1)"/>
      <w:lvlJc w:val="left"/>
      <w:pPr>
        <w:ind w:left="128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0"/>
  </w:num>
  <w:num w:numId="2">
    <w:abstractNumId w:val="1"/>
  </w:num>
  <w:num w:numId="3">
    <w:abstractNumId w:val="9"/>
  </w:num>
  <w:num w:numId="4">
    <w:abstractNumId w:val="8"/>
  </w:num>
  <w:num w:numId="5">
    <w:abstractNumId w:val="11"/>
  </w:num>
  <w:num w:numId="6">
    <w:abstractNumId w:val="2"/>
  </w:num>
  <w:num w:numId="7">
    <w:abstractNumId w:val="0"/>
  </w:num>
  <w:num w:numId="8">
    <w:abstractNumId w:val="6"/>
  </w:num>
  <w:num w:numId="9">
    <w:abstractNumId w:val="4"/>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C1F"/>
    <w:rsid w:val="000E484B"/>
    <w:rsid w:val="00167C1F"/>
    <w:rsid w:val="001E76A0"/>
    <w:rsid w:val="002E6FCE"/>
    <w:rsid w:val="0033778C"/>
    <w:rsid w:val="00341589"/>
    <w:rsid w:val="005046ED"/>
    <w:rsid w:val="005507AE"/>
    <w:rsid w:val="00602838"/>
    <w:rsid w:val="006E3E15"/>
    <w:rsid w:val="007321A1"/>
    <w:rsid w:val="00D27306"/>
    <w:rsid w:val="00DD46CF"/>
    <w:rsid w:val="00E869E8"/>
    <w:rsid w:val="00FB4D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3B747"/>
  <w15:chartTrackingRefBased/>
  <w15:docId w15:val="{484312DD-60BA-4A1B-A4CE-46DEBEEF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0E484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link w:val="ListaszerbekezdsChar"/>
    <w:uiPriority w:val="34"/>
    <w:qFormat/>
    <w:rsid w:val="0033778C"/>
    <w:pPr>
      <w:spacing w:after="0"/>
      <w:ind w:left="720"/>
      <w:contextualSpacing/>
      <w:jc w:val="both"/>
    </w:pPr>
    <w:rPr>
      <w:rFonts w:ascii="Cambria" w:eastAsia="Times New Roman" w:hAnsi="Cambria" w:cs="Times New Roman"/>
      <w:szCs w:val="20"/>
      <w:lang w:eastAsia="hu-HU"/>
    </w:rPr>
  </w:style>
  <w:style w:type="paragraph" w:customStyle="1" w:styleId="HESZtablazat2">
    <w:name w:val="HESZ_tablazat2"/>
    <w:basedOn w:val="Norml"/>
    <w:rsid w:val="0033778C"/>
    <w:pPr>
      <w:spacing w:before="60" w:after="60"/>
      <w:jc w:val="center"/>
    </w:pPr>
    <w:rPr>
      <w:rFonts w:ascii="Cambria" w:eastAsia="Times New Roman" w:hAnsi="Cambria" w:cs="Times New Roman"/>
      <w:bCs/>
      <w:szCs w:val="24"/>
      <w:lang w:eastAsia="hu-HU"/>
    </w:rPr>
  </w:style>
  <w:style w:type="character" w:customStyle="1" w:styleId="ListaszerbekezdsChar">
    <w:name w:val="Listaszerű bekezdés Char"/>
    <w:basedOn w:val="Bekezdsalapbettpusa"/>
    <w:link w:val="Listaszerbekezds"/>
    <w:uiPriority w:val="34"/>
    <w:rsid w:val="0033778C"/>
    <w:rPr>
      <w:rFonts w:ascii="Cambria" w:eastAsia="Times New Roman" w:hAnsi="Cambria" w:cs="Times New Roman"/>
      <w:szCs w:val="20"/>
      <w:lang w:eastAsia="hu-HU"/>
    </w:rPr>
  </w:style>
  <w:style w:type="table" w:customStyle="1" w:styleId="Rcsostblzat2">
    <w:name w:val="Rácsos táblázat2"/>
    <w:basedOn w:val="Normltblzat"/>
    <w:next w:val="Rcsostblzat"/>
    <w:uiPriority w:val="39"/>
    <w:rsid w:val="0033778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337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8270038">
      <w:bodyDiv w:val="1"/>
      <w:marLeft w:val="0"/>
      <w:marRight w:val="0"/>
      <w:marTop w:val="0"/>
      <w:marBottom w:val="0"/>
      <w:divBdr>
        <w:top w:val="none" w:sz="0" w:space="0" w:color="auto"/>
        <w:left w:val="none" w:sz="0" w:space="0" w:color="auto"/>
        <w:bottom w:val="none" w:sz="0" w:space="0" w:color="auto"/>
        <w:right w:val="none" w:sz="0" w:space="0" w:color="auto"/>
      </w:divBdr>
    </w:div>
    <w:div w:id="168119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1779</Words>
  <Characters>12277</Characters>
  <Application>Microsoft Office Word</Application>
  <DocSecurity>0</DocSecurity>
  <Lines>102</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Aljegyző</dc:creator>
  <cp:keywords/>
  <dc:description/>
  <cp:lastModifiedBy>Jegyző</cp:lastModifiedBy>
  <cp:revision>6</cp:revision>
  <dcterms:created xsi:type="dcterms:W3CDTF">2020-07-10T06:24:00Z</dcterms:created>
  <dcterms:modified xsi:type="dcterms:W3CDTF">2020-07-10T09:37:00Z</dcterms:modified>
</cp:coreProperties>
</file>